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8306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F763489">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F847DD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ascii="黑体" w:hAnsi="黑体" w:eastAsia="黑体" w:cs="Times New Roman"/>
                <w:kern w:val="2"/>
                <w:sz w:val="21"/>
                <w:szCs w:val="21"/>
                <w:lang w:val="en-US" w:eastAsia="zh-CN" w:bidi="ar-SA"/>
              </w:rPr>
              <w:fldChar w:fldCharType="begin">
                <w:ffData>
                  <w:name w:val="ICS"/>
                  <w:enabled/>
                  <w:calcOnExit w:val="0"/>
                  <w:textInput>
                    <w:default w:val="67.04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67.040</w:t>
            </w:r>
            <w:r>
              <w:rPr>
                <w:rFonts w:ascii="黑体" w:hAnsi="黑体" w:eastAsia="黑体" w:cs="Times New Roman"/>
                <w:kern w:val="2"/>
                <w:sz w:val="21"/>
                <w:szCs w:val="21"/>
                <w:lang w:val="en-US" w:eastAsia="zh-CN" w:bidi="ar-SA"/>
              </w:rPr>
              <w:fldChar w:fldCharType="end"/>
            </w:r>
            <w:bookmarkEnd w:id="0"/>
          </w:p>
        </w:tc>
      </w:tr>
      <w:tr w14:paraId="72C1C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FD774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9E4915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FF87D67">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SXMYT</w:t>
                  </w:r>
                  <w:r>
                    <w:fldChar w:fldCharType="end"/>
                  </w:r>
                  <w:bookmarkEnd w:id="1"/>
                </w:p>
              </w:tc>
            </w:tr>
          </w:tbl>
          <w:p w14:paraId="4097410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2" w:name="CSDN"/>
            <w:r>
              <w:rPr>
                <w:rFonts w:ascii="黑体" w:hAnsi="黑体" w:eastAsia="黑体" w:cs="Times New Roman"/>
                <w:kern w:val="2"/>
                <w:sz w:val="21"/>
                <w:szCs w:val="21"/>
                <w:lang w:val="en-US" w:eastAsia="zh-CN" w:bidi="ar-SA"/>
              </w:rPr>
              <w:fldChar w:fldCharType="begin">
                <w:ffData>
                  <w:name w:val="CSDN"/>
                  <w:enabled/>
                  <w:calcOnExit w:val="0"/>
                  <w:textInput>
                    <w:default w:val="X 0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X 00</w:t>
            </w:r>
            <w:r>
              <w:rPr>
                <w:rFonts w:ascii="黑体" w:hAnsi="黑体" w:eastAsia="黑体" w:cs="Times New Roman"/>
                <w:kern w:val="2"/>
                <w:sz w:val="21"/>
                <w:szCs w:val="21"/>
                <w:lang w:val="en-US" w:eastAsia="zh-CN" w:bidi="ar-SA"/>
              </w:rPr>
              <w:fldChar w:fldCharType="end"/>
            </w:r>
            <w:bookmarkEnd w:id="2"/>
          </w:p>
        </w:tc>
      </w:tr>
    </w:tbl>
    <w:p w14:paraId="56C80125">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山西省名优土特新产品协会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AA5121D">
      <w:pPr>
        <w:pStyle w:val="195"/>
        <w:rPr>
          <w:rFonts w:hint="default" w:eastAsia="黑体"/>
          <w:lang w:val="en-US" w:eastAsia="zh-CN"/>
        </w:r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lang w:val="en-US" w:eastAsia="zh-CN"/>
        </w:rPr>
        <w:t>SXM</w:t>
      </w:r>
      <w:r>
        <w:t>YT</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rPr>
          <w:rFonts w:hint="eastAsia"/>
          <w:lang w:val="en-US" w:eastAsia="zh-CN"/>
        </w:rPr>
        <w:t>2026</w:t>
      </w:r>
    </w:p>
    <w:p w14:paraId="7BADA3D9">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2D0978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7B9AC63">
      <w:pPr>
        <w:pStyle w:val="50"/>
        <w:framePr w:w="9639" w:h="6976" w:hRule="exact" w:hSpace="0" w:vSpace="0" w:wrap="around" w:hAnchor="page" w:y="6408"/>
        <w:jc w:val="center"/>
        <w:rPr>
          <w:rFonts w:ascii="黑体" w:hAnsi="黑体" w:eastAsia="黑体"/>
          <w:b w:val="0"/>
          <w:bCs w:val="0"/>
          <w:w w:val="100"/>
        </w:rPr>
      </w:pPr>
    </w:p>
    <w:p w14:paraId="16E8A0B2">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沁州黄</w:t>
      </w:r>
      <w:r>
        <w:rPr>
          <w:rFonts w:hint="eastAsia"/>
          <w:lang w:val="en-US" w:eastAsia="zh-CN"/>
        </w:rPr>
        <w:t>小米</w:t>
      </w:r>
      <w:r>
        <w:t xml:space="preserve">区域公用品牌通用要求 </w:t>
      </w:r>
    </w:p>
    <w:p w14:paraId="30CDFC4C">
      <w:pPr>
        <w:pStyle w:val="197"/>
        <w:framePr w:h="6974" w:hRule="exact" w:wrap="around" w:x="1419" w:anchorLock="1"/>
      </w:pPr>
      <w:r>
        <w:t>农食产品</w:t>
      </w:r>
      <w:r>
        <w:fldChar w:fldCharType="end"/>
      </w:r>
      <w:bookmarkEnd w:id="8"/>
    </w:p>
    <w:p w14:paraId="016D0476">
      <w:pPr>
        <w:framePr w:w="9639" w:h="6974" w:hRule="exact" w:wrap="around" w:vAnchor="page" w:hAnchor="page" w:x="1419" w:y="6408" w:anchorLock="1"/>
        <w:ind w:left="-1418"/>
      </w:pPr>
    </w:p>
    <w:p w14:paraId="7FCA845B">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Qinzhou</w:t>
      </w:r>
      <w:r>
        <w:rPr>
          <w:rFonts w:hint="eastAsia" w:eastAsia="黑体"/>
          <w:szCs w:val="28"/>
          <w:lang w:val="en-US" w:eastAsia="zh-CN"/>
        </w:rPr>
        <w:t>h</w:t>
      </w:r>
      <w:r>
        <w:rPr>
          <w:rFonts w:eastAsia="黑体"/>
          <w:szCs w:val="28"/>
        </w:rPr>
        <w:t>uang</w:t>
      </w:r>
      <w:r>
        <w:rPr>
          <w:rFonts w:hint="eastAsia" w:eastAsia="黑体"/>
          <w:szCs w:val="28"/>
          <w:lang w:val="en-US" w:eastAsia="zh-CN"/>
        </w:rPr>
        <w:t xml:space="preserve"> </w:t>
      </w:r>
      <w:r>
        <w:rPr>
          <w:rFonts w:hint="eastAsia" w:eastAsia="黑体"/>
          <w:szCs w:val="28"/>
        </w:rPr>
        <w:t>Millet</w:t>
      </w:r>
      <w:r>
        <w:rPr>
          <w:rFonts w:hint="eastAsia" w:eastAsia="黑体"/>
          <w:szCs w:val="28"/>
          <w:lang w:val="en-US" w:eastAsia="zh-CN"/>
        </w:rPr>
        <w:t xml:space="preserve"> </w:t>
      </w:r>
      <w:r>
        <w:rPr>
          <w:rFonts w:eastAsia="黑体"/>
          <w:szCs w:val="28"/>
        </w:rPr>
        <w:t>General Requirements for regional</w:t>
      </w:r>
    </w:p>
    <w:p w14:paraId="5E1F004B">
      <w:pPr>
        <w:pStyle w:val="125"/>
        <w:framePr w:w="9639" w:h="6974" w:hRule="exact" w:wrap="around" w:vAnchor="page" w:hAnchor="page" w:x="1419" w:y="6408" w:anchorLock="1"/>
        <w:textAlignment w:val="bottom"/>
        <w:rPr>
          <w:rFonts w:eastAsia="黑体"/>
          <w:szCs w:val="28"/>
        </w:rPr>
      </w:pPr>
      <w:r>
        <w:rPr>
          <w:rFonts w:eastAsia="黑体"/>
          <w:szCs w:val="28"/>
        </w:rPr>
        <w:t>publicbrand for agricultural and food products</w:t>
      </w:r>
      <w:r>
        <w:rPr>
          <w:rFonts w:eastAsia="黑体"/>
          <w:szCs w:val="28"/>
        </w:rPr>
        <w:fldChar w:fldCharType="end"/>
      </w:r>
      <w:bookmarkEnd w:id="9"/>
    </w:p>
    <w:p w14:paraId="2B2BD614">
      <w:pPr>
        <w:framePr w:w="9639" w:h="6974" w:hRule="exact" w:wrap="around" w:vAnchor="page" w:hAnchor="page" w:x="1419" w:y="6408" w:anchorLock="1"/>
        <w:spacing w:line="760" w:lineRule="exact"/>
        <w:ind w:left="-1418"/>
      </w:pPr>
    </w:p>
    <w:p w14:paraId="52D8A975">
      <w:pPr>
        <w:pStyle w:val="125"/>
        <w:framePr w:w="9639" w:h="6974" w:hRule="exact" w:wrap="around" w:vAnchor="page" w:hAnchor="page" w:x="1419" w:y="6408" w:anchorLock="1"/>
        <w:textAlignment w:val="bottom"/>
        <w:rPr>
          <w:rFonts w:eastAsia="黑体"/>
          <w:szCs w:val="28"/>
        </w:rPr>
      </w:pPr>
    </w:p>
    <w:p w14:paraId="0521F550">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267CE8E">
      <w:pPr>
        <w:pStyle w:val="125"/>
        <w:framePr w:w="9639" w:h="6974" w:hRule="exact" w:wrap="around" w:vAnchor="page" w:hAnchor="page" w:x="1419" w:y="6408" w:anchorLock="1"/>
        <w:spacing w:before="180" w:line="240" w:lineRule="atLeast"/>
        <w:textAlignment w:val="bottom"/>
        <w:rPr>
          <w:sz w:val="21"/>
          <w:szCs w:val="28"/>
        </w:rPr>
      </w:pPr>
    </w:p>
    <w:p w14:paraId="4E8F8DEF">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3CF4DB40">
      <w:pPr>
        <w:pStyle w:val="193"/>
        <w:framePr w:wrap="around" w:y="14176"/>
      </w:pPr>
      <w:r>
        <w:rPr>
          <w:rFonts w:hint="eastAsia" w:ascii="黑体"/>
          <w:lang w:val="en-US" w:eastAsia="zh-CN"/>
        </w:rPr>
        <w:t>XXXX</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76BF44A1">
      <w:pPr>
        <w:pStyle w:val="194"/>
        <w:framePr w:wrap="around" w:y="14176"/>
      </w:pPr>
      <w:r>
        <w:rPr>
          <w:rFonts w:hint="eastAsia" w:ascii="黑体"/>
          <w:lang w:val="en-US" w:eastAsia="zh-CN"/>
        </w:rPr>
        <w:t>XXXX</w:t>
      </w:r>
      <w:bookmarkStart w:id="77" w:name="_GoBack"/>
      <w:bookmarkEnd w:id="7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3806F92D">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山西省名优土特新产品协会</w:t>
      </w:r>
      <w:r>
        <w:rPr>
          <w:rFonts w:hAnsi="黑体"/>
          <w:w w:val="100"/>
          <w:sz w:val="28"/>
        </w:rPr>
        <w:fldChar w:fldCharType="end"/>
      </w:r>
      <w:bookmarkEnd w:id="15"/>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95B516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AC42FEB">
      <w:pPr>
        <w:pStyle w:val="91"/>
        <w:spacing w:after="360"/>
        <w:rPr>
          <w:rFonts w:hint="eastAsia"/>
        </w:rPr>
      </w:pPr>
      <w:bookmarkStart w:id="16" w:name="BookMark2"/>
      <w:r>
        <w:rPr>
          <w:rFonts w:hint="eastAsia"/>
          <w:spacing w:val="320"/>
        </w:rPr>
        <w:t>目</w:t>
      </w:r>
      <w:r>
        <w:rPr>
          <w:rFonts w:hint="eastAsia"/>
        </w:rPr>
        <w:t>次</w:t>
      </w:r>
    </w:p>
    <w:p w14:paraId="12374E98">
      <w:pPr>
        <w:pStyle w:val="19"/>
        <w:tabs>
          <w:tab w:val="right" w:leader="dot" w:pos="9354"/>
        </w:tabs>
      </w:pPr>
      <w:r>
        <w:fldChar w:fldCharType="begin"/>
      </w:r>
      <w:r>
        <w:instrText xml:space="preserve"> TOC \o "1-1" \h </w:instrText>
      </w:r>
      <w:r>
        <w:fldChar w:fldCharType="separate"/>
      </w:r>
      <w:r>
        <w:fldChar w:fldCharType="begin"/>
      </w:r>
      <w:r>
        <w:instrText xml:space="preserve"> HYPERLINK \l _Toc3118 </w:instrText>
      </w:r>
      <w:r>
        <w:fldChar w:fldCharType="separate"/>
      </w:r>
      <w:r>
        <w:rPr>
          <w:spacing w:val="320"/>
        </w:rPr>
        <w:t>前</w:t>
      </w:r>
      <w:r>
        <w:t>言</w:t>
      </w:r>
      <w:r>
        <w:tab/>
      </w:r>
      <w:r>
        <w:fldChar w:fldCharType="begin"/>
      </w:r>
      <w:r>
        <w:instrText xml:space="preserve"> PAGEREF _Toc3118 \h </w:instrText>
      </w:r>
      <w:r>
        <w:fldChar w:fldCharType="separate"/>
      </w:r>
      <w:r>
        <w:t>I</w:t>
      </w:r>
      <w:r>
        <w:fldChar w:fldCharType="end"/>
      </w:r>
      <w:r>
        <w:fldChar w:fldCharType="end"/>
      </w:r>
    </w:p>
    <w:p w14:paraId="61CE1CFF">
      <w:pPr>
        <w:pStyle w:val="19"/>
        <w:tabs>
          <w:tab w:val="right" w:leader="dot" w:pos="9354"/>
        </w:tabs>
      </w:pPr>
      <w:r>
        <w:fldChar w:fldCharType="begin"/>
      </w:r>
      <w:r>
        <w:instrText xml:space="preserve"> HYPERLINK \l _Toc13621 </w:instrText>
      </w:r>
      <w:r>
        <w:fldChar w:fldCharType="separate"/>
      </w:r>
      <w:r>
        <w:rPr>
          <w:spacing w:val="320"/>
        </w:rPr>
        <w:t>引</w:t>
      </w:r>
      <w:r>
        <w:t>言</w:t>
      </w:r>
      <w:r>
        <w:tab/>
      </w:r>
      <w:r>
        <w:fldChar w:fldCharType="begin"/>
      </w:r>
      <w:r>
        <w:instrText xml:space="preserve"> PAGEREF _Toc13621 \h </w:instrText>
      </w:r>
      <w:r>
        <w:fldChar w:fldCharType="separate"/>
      </w:r>
      <w:r>
        <w:t>II</w:t>
      </w:r>
      <w:r>
        <w:fldChar w:fldCharType="end"/>
      </w:r>
      <w:r>
        <w:fldChar w:fldCharType="end"/>
      </w:r>
    </w:p>
    <w:p w14:paraId="52B4A0E5">
      <w:pPr>
        <w:pStyle w:val="19"/>
        <w:tabs>
          <w:tab w:val="right" w:leader="dot" w:pos="9354"/>
        </w:tabs>
      </w:pPr>
      <w:r>
        <w:fldChar w:fldCharType="begin"/>
      </w:r>
      <w:r>
        <w:instrText xml:space="preserve"> HYPERLINK \l _Toc23097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_Toc23097 \h </w:instrText>
      </w:r>
      <w:r>
        <w:fldChar w:fldCharType="separate"/>
      </w:r>
      <w:r>
        <w:t>1</w:t>
      </w:r>
      <w:r>
        <w:fldChar w:fldCharType="end"/>
      </w:r>
      <w:r>
        <w:fldChar w:fldCharType="end"/>
      </w:r>
    </w:p>
    <w:p w14:paraId="02DC6119">
      <w:pPr>
        <w:pStyle w:val="19"/>
        <w:tabs>
          <w:tab w:val="right" w:leader="dot" w:pos="9354"/>
        </w:tabs>
      </w:pPr>
      <w:r>
        <w:fldChar w:fldCharType="begin"/>
      </w:r>
      <w:r>
        <w:instrText xml:space="preserve"> HYPERLINK \l _Toc5329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_Toc5329 \h </w:instrText>
      </w:r>
      <w:r>
        <w:fldChar w:fldCharType="separate"/>
      </w:r>
      <w:r>
        <w:t>1</w:t>
      </w:r>
      <w:r>
        <w:fldChar w:fldCharType="end"/>
      </w:r>
      <w:r>
        <w:fldChar w:fldCharType="end"/>
      </w:r>
    </w:p>
    <w:p w14:paraId="50A989AD">
      <w:pPr>
        <w:pStyle w:val="19"/>
        <w:tabs>
          <w:tab w:val="right" w:leader="dot" w:pos="9354"/>
        </w:tabs>
      </w:pPr>
      <w:r>
        <w:fldChar w:fldCharType="begin"/>
      </w:r>
      <w:r>
        <w:instrText xml:space="preserve"> HYPERLINK \l _Toc2640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_Toc2640 \h </w:instrText>
      </w:r>
      <w:r>
        <w:fldChar w:fldCharType="separate"/>
      </w:r>
      <w:r>
        <w:t>1</w:t>
      </w:r>
      <w:r>
        <w:fldChar w:fldCharType="end"/>
      </w:r>
      <w:r>
        <w:fldChar w:fldCharType="end"/>
      </w:r>
    </w:p>
    <w:p w14:paraId="15D32A16">
      <w:pPr>
        <w:pStyle w:val="19"/>
        <w:tabs>
          <w:tab w:val="right" w:leader="dot" w:pos="9354"/>
        </w:tabs>
      </w:pPr>
      <w:r>
        <w:fldChar w:fldCharType="begin"/>
      </w:r>
      <w:r>
        <w:instrText xml:space="preserve"> HYPERLINK \l _Toc4971 </w:instrText>
      </w:r>
      <w:r>
        <w:fldChar w:fldCharType="separate"/>
      </w:r>
      <w:r>
        <w:rPr>
          <w:rFonts w:hint="eastAsia" w:ascii="黑体" w:eastAsia="黑体"/>
          <w:i w:val="0"/>
        </w:rPr>
        <w:t xml:space="preserve">4 </w:t>
      </w:r>
      <w:r>
        <w:rPr>
          <w:rFonts w:hint="eastAsia"/>
        </w:rPr>
        <w:t>生产管理</w:t>
      </w:r>
      <w:r>
        <w:tab/>
      </w:r>
      <w:r>
        <w:fldChar w:fldCharType="begin"/>
      </w:r>
      <w:r>
        <w:instrText xml:space="preserve"> PAGEREF _Toc4971 \h </w:instrText>
      </w:r>
      <w:r>
        <w:fldChar w:fldCharType="separate"/>
      </w:r>
      <w:r>
        <w:t>1</w:t>
      </w:r>
      <w:r>
        <w:fldChar w:fldCharType="end"/>
      </w:r>
      <w:r>
        <w:fldChar w:fldCharType="end"/>
      </w:r>
    </w:p>
    <w:p w14:paraId="6881C56B">
      <w:pPr>
        <w:pStyle w:val="19"/>
        <w:tabs>
          <w:tab w:val="right" w:leader="dot" w:pos="9354"/>
        </w:tabs>
      </w:pPr>
      <w:r>
        <w:fldChar w:fldCharType="begin"/>
      </w:r>
      <w:r>
        <w:instrText xml:space="preserve"> HYPERLINK \l _Toc28415 </w:instrText>
      </w:r>
      <w:r>
        <w:fldChar w:fldCharType="separate"/>
      </w:r>
      <w:r>
        <w:rPr>
          <w:rFonts w:hint="eastAsia" w:ascii="黑体" w:eastAsia="黑体"/>
          <w:i w:val="0"/>
        </w:rPr>
        <w:t xml:space="preserve">5 </w:t>
      </w:r>
      <w:r>
        <w:rPr>
          <w:rFonts w:hint="eastAsia"/>
        </w:rPr>
        <w:t>包装、标识和标签</w:t>
      </w:r>
      <w:r>
        <w:tab/>
      </w:r>
      <w:r>
        <w:fldChar w:fldCharType="begin"/>
      </w:r>
      <w:r>
        <w:instrText xml:space="preserve"> PAGEREF _Toc28415 \h </w:instrText>
      </w:r>
      <w:r>
        <w:fldChar w:fldCharType="separate"/>
      </w:r>
      <w:r>
        <w:t>2</w:t>
      </w:r>
      <w:r>
        <w:fldChar w:fldCharType="end"/>
      </w:r>
      <w:r>
        <w:fldChar w:fldCharType="end"/>
      </w:r>
    </w:p>
    <w:p w14:paraId="0256FC63">
      <w:pPr>
        <w:pStyle w:val="19"/>
        <w:tabs>
          <w:tab w:val="right" w:leader="dot" w:pos="9354"/>
        </w:tabs>
      </w:pPr>
      <w:r>
        <w:fldChar w:fldCharType="begin"/>
      </w:r>
      <w:r>
        <w:instrText xml:space="preserve"> HYPERLINK \l _Toc7304 </w:instrText>
      </w:r>
      <w:r>
        <w:fldChar w:fldCharType="separate"/>
      </w:r>
      <w:r>
        <w:rPr>
          <w:rFonts w:hint="eastAsia" w:ascii="黑体" w:eastAsia="黑体"/>
          <w:i w:val="0"/>
        </w:rPr>
        <w:t xml:space="preserve">6 </w:t>
      </w:r>
      <w:r>
        <w:rPr>
          <w:rFonts w:hint="eastAsia"/>
        </w:rPr>
        <w:t>追溯管理</w:t>
      </w:r>
      <w:r>
        <w:tab/>
      </w:r>
      <w:r>
        <w:fldChar w:fldCharType="begin"/>
      </w:r>
      <w:r>
        <w:instrText xml:space="preserve"> PAGEREF _Toc7304 \h </w:instrText>
      </w:r>
      <w:r>
        <w:fldChar w:fldCharType="separate"/>
      </w:r>
      <w:r>
        <w:t>2</w:t>
      </w:r>
      <w:r>
        <w:fldChar w:fldCharType="end"/>
      </w:r>
      <w:r>
        <w:fldChar w:fldCharType="end"/>
      </w:r>
    </w:p>
    <w:p w14:paraId="0E0C33B7">
      <w:pPr>
        <w:pStyle w:val="19"/>
        <w:tabs>
          <w:tab w:val="right" w:leader="dot" w:pos="9354"/>
        </w:tabs>
      </w:pPr>
      <w:r>
        <w:fldChar w:fldCharType="begin"/>
      </w:r>
      <w:r>
        <w:instrText xml:space="preserve"> HYPERLINK \l _Toc9301 </w:instrText>
      </w:r>
      <w:r>
        <w:fldChar w:fldCharType="separate"/>
      </w:r>
      <w:r>
        <w:rPr>
          <w:rFonts w:hint="eastAsia" w:ascii="黑体" w:eastAsia="黑体"/>
          <w:i w:val="0"/>
        </w:rPr>
        <w:t xml:space="preserve">7 </w:t>
      </w:r>
      <w:r>
        <w:rPr>
          <w:rFonts w:hint="eastAsia"/>
        </w:rPr>
        <w:t>销售管理</w:t>
      </w:r>
      <w:r>
        <w:tab/>
      </w:r>
      <w:r>
        <w:fldChar w:fldCharType="begin"/>
      </w:r>
      <w:r>
        <w:instrText xml:space="preserve"> PAGEREF _Toc9301 \h </w:instrText>
      </w:r>
      <w:r>
        <w:fldChar w:fldCharType="separate"/>
      </w:r>
      <w:r>
        <w:t>3</w:t>
      </w:r>
      <w:r>
        <w:fldChar w:fldCharType="end"/>
      </w:r>
      <w:r>
        <w:fldChar w:fldCharType="end"/>
      </w:r>
    </w:p>
    <w:p w14:paraId="08CB718C">
      <w:pPr>
        <w:pStyle w:val="19"/>
        <w:tabs>
          <w:tab w:val="right" w:leader="dot" w:pos="9354"/>
        </w:tabs>
      </w:pPr>
      <w:r>
        <w:fldChar w:fldCharType="begin"/>
      </w:r>
      <w:r>
        <w:instrText xml:space="preserve"> HYPERLINK \l _Toc10275 </w:instrText>
      </w:r>
      <w:r>
        <w:fldChar w:fldCharType="separate"/>
      </w:r>
      <w:r>
        <w:rPr>
          <w:rFonts w:hint="eastAsia" w:ascii="黑体" w:eastAsia="黑体"/>
          <w:i w:val="0"/>
        </w:rPr>
        <w:t xml:space="preserve">8 </w:t>
      </w:r>
      <w:r>
        <w:rPr>
          <w:rFonts w:hint="eastAsia"/>
        </w:rPr>
        <w:t>品牌建设</w:t>
      </w:r>
      <w:r>
        <w:tab/>
      </w:r>
      <w:r>
        <w:fldChar w:fldCharType="begin"/>
      </w:r>
      <w:r>
        <w:instrText xml:space="preserve"> PAGEREF _Toc10275 \h </w:instrText>
      </w:r>
      <w:r>
        <w:fldChar w:fldCharType="separate"/>
      </w:r>
      <w:r>
        <w:t>3</w:t>
      </w:r>
      <w:r>
        <w:fldChar w:fldCharType="end"/>
      </w:r>
      <w:r>
        <w:fldChar w:fldCharType="end"/>
      </w:r>
    </w:p>
    <w:p w14:paraId="1BA2646A">
      <w:pPr>
        <w:pStyle w:val="19"/>
        <w:tabs>
          <w:tab w:val="right" w:leader="dot" w:pos="9354"/>
        </w:tabs>
      </w:pPr>
      <w:r>
        <w:fldChar w:fldCharType="begin"/>
      </w:r>
      <w:r>
        <w:instrText xml:space="preserve"> HYPERLINK \l _Toc9669 </w:instrText>
      </w:r>
      <w:r>
        <w:fldChar w:fldCharType="separate"/>
      </w:r>
      <w:r>
        <w:rPr>
          <w:rFonts w:hint="eastAsia" w:ascii="黑体" w:eastAsia="黑体"/>
          <w:i w:val="0"/>
        </w:rPr>
        <w:t xml:space="preserve">9 </w:t>
      </w:r>
      <w:r>
        <w:rPr>
          <w:rFonts w:hint="eastAsia"/>
        </w:rPr>
        <w:t>可持续发展和社会责任</w:t>
      </w:r>
      <w:r>
        <w:tab/>
      </w:r>
      <w:r>
        <w:fldChar w:fldCharType="begin"/>
      </w:r>
      <w:r>
        <w:instrText xml:space="preserve"> PAGEREF _Toc9669 \h </w:instrText>
      </w:r>
      <w:r>
        <w:fldChar w:fldCharType="separate"/>
      </w:r>
      <w:r>
        <w:t>3</w:t>
      </w:r>
      <w:r>
        <w:fldChar w:fldCharType="end"/>
      </w:r>
      <w:r>
        <w:fldChar w:fldCharType="end"/>
      </w:r>
    </w:p>
    <w:p w14:paraId="7B17A4BB">
      <w:pPr>
        <w:pStyle w:val="89"/>
        <w:spacing w:before="560"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p w14:paraId="15262E2F">
      <w:pPr>
        <w:pStyle w:val="89"/>
        <w:spacing w:before="560" w:after="360"/>
      </w:pPr>
      <w:bookmarkStart w:id="17" w:name="_Toc3118"/>
      <w:r>
        <w:rPr>
          <w:spacing w:val="320"/>
        </w:rPr>
        <w:t>前</w:t>
      </w:r>
      <w:r>
        <w:t>言</w:t>
      </w:r>
      <w:bookmarkEnd w:id="17"/>
    </w:p>
    <w:p w14:paraId="448DA619">
      <w:pPr>
        <w:pStyle w:val="56"/>
        <w:ind w:firstLine="420"/>
      </w:pPr>
      <w:r>
        <w:rPr>
          <w:rFonts w:hint="eastAsia"/>
        </w:rPr>
        <w:t>本文件按照GB/T 1.1—2020《标准化工作导则  第1部分：标准化文件的结构和起草规则》的规定起草。</w:t>
      </w:r>
    </w:p>
    <w:p w14:paraId="624F1ED2">
      <w:pPr>
        <w:pStyle w:val="56"/>
        <w:ind w:firstLine="420"/>
      </w:pPr>
      <w:r>
        <w:rPr>
          <w:rFonts w:hint="eastAsia"/>
        </w:rPr>
        <w:t>请注意本文件的某些内容可能涉及专利。本文件的发布机构不承担识别专利的责任。</w:t>
      </w:r>
    </w:p>
    <w:p w14:paraId="2FC05870">
      <w:pPr>
        <w:pStyle w:val="56"/>
        <w:ind w:firstLine="420"/>
      </w:pPr>
      <w:r>
        <w:rPr>
          <w:rFonts w:hint="eastAsia"/>
        </w:rPr>
        <w:t>本文件由山西省名优土特新产品协会提出并归口。</w:t>
      </w:r>
    </w:p>
    <w:p w14:paraId="6139234D">
      <w:pPr>
        <w:pStyle w:val="56"/>
        <w:ind w:firstLine="420"/>
        <w:rPr>
          <w:rFonts w:hint="default" w:eastAsia="宋体"/>
          <w:lang w:val="en-US" w:eastAsia="zh-CN"/>
        </w:rPr>
      </w:pPr>
      <w:r>
        <w:rPr>
          <w:rFonts w:hint="eastAsia"/>
        </w:rPr>
        <w:t>本文件起草单位：</w:t>
      </w:r>
      <w:r>
        <w:rPr>
          <w:rFonts w:hint="eastAsia"/>
          <w:lang w:val="en-US" w:eastAsia="zh-CN"/>
        </w:rPr>
        <w:t>方圆标志认证集团有限公司、方圆标志认证集团有限公司山西分公司、方圆标志检验检测（山东）有限公司、山西农业大学农学院、山西沁州黄小米集团有限公司、山西农业大学谷子研究所、山西晋美庄园农产品有限公司、山西北方水城食品科技股份有限公司、山西太行沃土农业产品有限公司、武乡县老家农业开发有限公司、长治市中药材产业发展中心（长治市小米产业发展中心）、长治市太行农林产业发展有限公司、神农集团品牌运营管理（山西）有限公司。</w:t>
      </w:r>
    </w:p>
    <w:p w14:paraId="274D53C9">
      <w:pPr>
        <w:pStyle w:val="56"/>
        <w:ind w:firstLine="420"/>
      </w:pPr>
      <w:r>
        <w:rPr>
          <w:rFonts w:hint="eastAsia"/>
        </w:rPr>
        <w:t>本文件主要起草人：</w:t>
      </w:r>
      <w:r>
        <w:rPr>
          <w:rFonts w:hint="eastAsia"/>
          <w:lang w:val="en-US" w:eastAsia="zh-CN"/>
        </w:rPr>
        <w:t>王峰、龙科、赵平珊、焦盼、王雅君、石耀武、杜文娟、牛永红、吴华伟、张东平、李强、侯冠辰、原向阳、武挺</w:t>
      </w:r>
      <w:r>
        <w:rPr>
          <w:rFonts w:hint="eastAsia"/>
        </w:rPr>
        <w:t>。</w:t>
      </w:r>
    </w:p>
    <w:p w14:paraId="5BACE7DC">
      <w:pPr>
        <w:pStyle w:val="56"/>
        <w:ind w:firstLine="420"/>
        <w:sectPr>
          <w:pgSz w:w="11906" w:h="16838"/>
          <w:pgMar w:top="1928" w:right="1134" w:bottom="1134" w:left="1134" w:header="1418" w:footer="1134" w:gutter="284"/>
          <w:pgNumType w:fmt="upperRoman" w:start="1"/>
          <w:cols w:space="425" w:num="1"/>
          <w:formProt w:val="0"/>
          <w:docGrid w:linePitch="312" w:charSpace="0"/>
        </w:sectPr>
      </w:pPr>
    </w:p>
    <w:bookmarkEnd w:id="16"/>
    <w:p w14:paraId="7A86404C">
      <w:pPr>
        <w:pStyle w:val="89"/>
        <w:spacing w:after="360"/>
      </w:pPr>
      <w:bookmarkStart w:id="18" w:name="_Toc13621"/>
      <w:bookmarkStart w:id="19" w:name="BookMark3"/>
      <w:r>
        <w:rPr>
          <w:spacing w:val="320"/>
        </w:rPr>
        <w:t>引</w:t>
      </w:r>
      <w:r>
        <w:t>言</w:t>
      </w:r>
      <w:bookmarkEnd w:id="18"/>
    </w:p>
    <w:p w14:paraId="2D5F8DD7">
      <w:pPr>
        <w:pStyle w:val="56"/>
        <w:rPr>
          <w:rFonts w:hint="eastAsia"/>
        </w:rPr>
      </w:pPr>
      <w:r>
        <w:rPr>
          <w:rFonts w:hint="eastAsia"/>
        </w:rPr>
        <w:t xml:space="preserve"> 沁州黄小米作为山西省长治市的区域公用品牌，凭借当地独特的自然环境、人文历史以及生产加工传统，充分彰显长治市小米产业的高品质。它不仅是一个具有代表性的区域品牌标识，更是长治小米产业的集体象征。该品牌有助于深入挖掘长治生态资源的价值，推动小米产业的规模化与产业化发展，提高品牌的知名度和影响力，为乡村振兴和县域经济发展注入新的动力。 </w:t>
      </w:r>
    </w:p>
    <w:p w14:paraId="6938FBC1">
      <w:pPr>
        <w:pStyle w:val="56"/>
        <w:ind w:firstLine="420"/>
        <w:rPr>
          <w:rFonts w:hint="eastAsia"/>
        </w:rPr>
      </w:pPr>
      <w:r>
        <w:rPr>
          <w:rFonts w:hint="eastAsia"/>
        </w:rPr>
        <w:t>沁州黄小米区域公用品牌所具备的独特品质，源自长治市优越的生态禀赋。长治市位于太行山与太岳山之间，平均海拔处于适宜区间，属于暖温带半湿润大陆性季风气候，具有日照充足、昼夜温差显著、降水适度的特点，且土壤富含矿物质。优良的生态环境为小米生长提供了极为有利的自然条件，也为沁州黄小米产业构筑了坚实的品质根基。</w:t>
      </w:r>
    </w:p>
    <w:p w14:paraId="229B26E6">
      <w:pPr>
        <w:pStyle w:val="56"/>
        <w:ind w:firstLine="420"/>
        <w:rPr>
          <w:rFonts w:hint="eastAsia"/>
        </w:rPr>
      </w:pPr>
      <w:r>
        <w:rPr>
          <w:rFonts w:hint="eastAsia"/>
        </w:rPr>
        <w:t>沁州黄小米区域公用品牌系列团体标准，是开展沁州黄小米区域品牌自愿性认证的核心依据。该标准在对比分析国内外技术指标的基础上，融入过程控制与持续改进的管理理念，形成了一套涵盖管理要素通用要求、行业特色产品及服务技术规范的系列标准，共分为三个层级：第一层级为管理类的《沁州黄小米区域公用品牌通用要求 农食产品》；第二层级为行业类的《</w:t>
      </w:r>
      <w:r>
        <w:rPr>
          <w:rFonts w:hint="eastAsia"/>
          <w:lang w:eastAsia="zh-CN"/>
        </w:rPr>
        <w:t>“</w:t>
      </w:r>
      <w:r>
        <w:rPr>
          <w:rFonts w:hint="eastAsia"/>
        </w:rPr>
        <w:t>沁州黄小米</w:t>
      </w:r>
      <w:r>
        <w:rPr>
          <w:rFonts w:hint="eastAsia"/>
          <w:lang w:eastAsia="zh-CN"/>
        </w:rPr>
        <w:t>”</w:t>
      </w:r>
      <w:r>
        <w:rPr>
          <w:rFonts w:hint="eastAsia"/>
        </w:rPr>
        <w:t>种植技术规范》《</w:t>
      </w:r>
      <w:r>
        <w:rPr>
          <w:rFonts w:hint="eastAsia"/>
          <w:lang w:eastAsia="zh-CN"/>
        </w:rPr>
        <w:t>“</w:t>
      </w:r>
      <w:r>
        <w:rPr>
          <w:rFonts w:hint="eastAsia"/>
        </w:rPr>
        <w:t>沁州黄小米</w:t>
      </w:r>
      <w:r>
        <w:rPr>
          <w:rFonts w:hint="eastAsia"/>
          <w:lang w:eastAsia="zh-CN"/>
        </w:rPr>
        <w:t>”</w:t>
      </w:r>
      <w:r>
        <w:rPr>
          <w:rFonts w:hint="eastAsia"/>
        </w:rPr>
        <w:t>农产品加工管理规范》；第三层级为产品类的《</w:t>
      </w:r>
      <w:r>
        <w:rPr>
          <w:rFonts w:hint="eastAsia"/>
          <w:lang w:eastAsia="zh-CN"/>
        </w:rPr>
        <w:t>“</w:t>
      </w:r>
      <w:r>
        <w:rPr>
          <w:rFonts w:hint="eastAsia"/>
        </w:rPr>
        <w:t>沁州黄小米</w:t>
      </w:r>
      <w:r>
        <w:rPr>
          <w:rFonts w:hint="eastAsia"/>
          <w:lang w:eastAsia="zh-CN"/>
        </w:rPr>
        <w:t>”</w:t>
      </w:r>
      <w:r>
        <w:rPr>
          <w:rFonts w:hint="eastAsia"/>
        </w:rPr>
        <w:t>特色产品技术规范 小米》等。三个层级文件需配套使用。</w:t>
      </w:r>
    </w:p>
    <w:p w14:paraId="526FC7E0">
      <w:pPr>
        <w:pStyle w:val="56"/>
        <w:ind w:firstLine="420"/>
      </w:pPr>
      <w:r>
        <w:rPr>
          <w:rFonts w:hint="eastAsia"/>
        </w:rPr>
        <w:t>本文件可作为采用“标准·认证+”培育手段推进沁州黄小米区域公用品牌建设的重要依据，亦可作为沁州黄小米生产经营主体开展生产、经营活动的基本准则。其中，沁州黄小米特色产品，是指根植于独特的自然地理与人文历史，具备核心品质特征的谷物及制品（包括谷子、小米和小米制品）。</w:t>
      </w:r>
    </w:p>
    <w:p w14:paraId="654FBDC9">
      <w:pPr>
        <w:pStyle w:val="56"/>
        <w:ind w:firstLine="420"/>
      </w:pPr>
    </w:p>
    <w:p w14:paraId="72E0EE4C">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19"/>
    <w:p w14:paraId="2BD583E8">
      <w:pPr>
        <w:spacing w:line="20" w:lineRule="exact"/>
        <w:jc w:val="center"/>
        <w:rPr>
          <w:rFonts w:ascii="黑体" w:hAnsi="黑体" w:eastAsia="黑体"/>
          <w:sz w:val="32"/>
          <w:szCs w:val="32"/>
        </w:rPr>
      </w:pPr>
      <w:bookmarkStart w:id="20" w:name="BookMark4"/>
    </w:p>
    <w:p w14:paraId="28EE6BB2">
      <w:pPr>
        <w:spacing w:line="20" w:lineRule="exact"/>
        <w:jc w:val="center"/>
        <w:rPr>
          <w:rFonts w:ascii="黑体" w:hAnsi="黑体" w:eastAsia="黑体"/>
          <w:sz w:val="32"/>
          <w:szCs w:val="32"/>
        </w:rPr>
      </w:pPr>
    </w:p>
    <w:sdt>
      <w:sdtPr>
        <w:tag w:val="NEW_STAND_NAME"/>
        <w:id w:val="595910757"/>
        <w:lock w:val="sdtLocked"/>
        <w:placeholder>
          <w:docPart w:val="0E476E1D069E496FA91ED9C2455C7462"/>
        </w:placeholder>
      </w:sdtPr>
      <w:sdtContent>
        <w:p w14:paraId="513D47EA">
          <w:pPr>
            <w:pStyle w:val="177"/>
            <w:spacing w:before="2" w:beforeLines="1" w:after="528" w:afterLines="220"/>
          </w:pPr>
          <w:bookmarkStart w:id="21" w:name="OLE_LINK1"/>
          <w:bookmarkStart w:id="22" w:name="OLE_LINK6"/>
          <w:bookmarkStart w:id="23" w:name="OLE_LINK5"/>
          <w:bookmarkStart w:id="24" w:name="OLE_LINK2"/>
          <w:bookmarkStart w:id="25" w:name="NEW_STAND_NAME"/>
          <w:r>
            <w:rPr>
              <w:rFonts w:hint="eastAsia"/>
              <w:lang w:eastAsia="zh-CN"/>
            </w:rPr>
            <w:t>沁州黄小米</w:t>
          </w:r>
          <w:r>
            <w:t>区域公用品牌通用要求 农食产品</w:t>
          </w:r>
        </w:p>
      </w:sdtContent>
    </w:sdt>
    <w:bookmarkEnd w:id="21"/>
    <w:bookmarkEnd w:id="22"/>
    <w:bookmarkEnd w:id="23"/>
    <w:bookmarkEnd w:id="24"/>
    <w:bookmarkEnd w:id="25"/>
    <w:p w14:paraId="0F4C159B">
      <w:pPr>
        <w:pStyle w:val="104"/>
        <w:spacing w:before="240" w:after="240"/>
      </w:pPr>
      <w:bookmarkStart w:id="26" w:name="_Toc26986530"/>
      <w:bookmarkStart w:id="27" w:name="_Toc26986771"/>
      <w:bookmarkStart w:id="28" w:name="_Toc17233333"/>
      <w:bookmarkStart w:id="29" w:name="_Toc26648465"/>
      <w:bookmarkStart w:id="30" w:name="_Toc24884211"/>
      <w:bookmarkStart w:id="31" w:name="_Toc97192964"/>
      <w:bookmarkStart w:id="32" w:name="_Toc26718930"/>
      <w:bookmarkStart w:id="33" w:name="_Toc24884218"/>
      <w:bookmarkStart w:id="34" w:name="_Toc23097"/>
      <w:bookmarkStart w:id="35" w:name="_Toc17233325"/>
      <w:r>
        <w:rPr>
          <w:rFonts w:hint="eastAsia"/>
        </w:rPr>
        <w:t>范围</w:t>
      </w:r>
      <w:bookmarkEnd w:id="26"/>
      <w:bookmarkEnd w:id="27"/>
      <w:bookmarkEnd w:id="28"/>
      <w:bookmarkEnd w:id="29"/>
      <w:bookmarkEnd w:id="30"/>
      <w:bookmarkEnd w:id="31"/>
      <w:bookmarkEnd w:id="32"/>
      <w:bookmarkEnd w:id="33"/>
      <w:bookmarkEnd w:id="34"/>
      <w:bookmarkEnd w:id="35"/>
    </w:p>
    <w:p w14:paraId="28EEA48A">
      <w:pPr>
        <w:pStyle w:val="56"/>
        <w:ind w:firstLine="420"/>
        <w:rPr>
          <w:rFonts w:hint="eastAsia"/>
        </w:rPr>
      </w:pPr>
      <w:bookmarkStart w:id="36" w:name="_Toc17233334"/>
      <w:bookmarkStart w:id="37" w:name="_Toc17233326"/>
      <w:bookmarkStart w:id="38" w:name="_Toc26648466"/>
      <w:bookmarkStart w:id="39" w:name="_Toc24884219"/>
      <w:bookmarkStart w:id="40" w:name="_Toc24884212"/>
      <w:r>
        <w:rPr>
          <w:rFonts w:hint="eastAsia"/>
        </w:rPr>
        <w:t>本文件规定了沁州黄</w:t>
      </w:r>
      <w:r>
        <w:rPr>
          <w:rFonts w:hint="eastAsia"/>
          <w:lang w:val="en-US" w:eastAsia="zh-CN"/>
        </w:rPr>
        <w:t>小米</w:t>
      </w:r>
      <w:r>
        <w:rPr>
          <w:rFonts w:hint="eastAsia"/>
        </w:rPr>
        <w:t>区域公用品牌农食产品的经营主体要求、生产管理、包装、标识和标签、追溯管理、销售管理、品牌建设、可持续发展和社会责任。</w:t>
      </w:r>
    </w:p>
    <w:p w14:paraId="1CB639DA">
      <w:pPr>
        <w:pStyle w:val="56"/>
        <w:ind w:firstLine="420"/>
      </w:pPr>
      <w:r>
        <w:rPr>
          <w:rFonts w:hint="eastAsia"/>
        </w:rPr>
        <w:t>本文件适用于长治市域内“沁州黄</w:t>
      </w:r>
      <w:r>
        <w:rPr>
          <w:rFonts w:hint="eastAsia"/>
          <w:lang w:val="en-US" w:eastAsia="zh-CN"/>
        </w:rPr>
        <w:t>小米</w:t>
      </w:r>
      <w:r>
        <w:rPr>
          <w:rFonts w:hint="eastAsia"/>
        </w:rPr>
        <w:t>”区域公用品牌生产经营者的自我评价和第三方认证。</w:t>
      </w:r>
    </w:p>
    <w:p w14:paraId="277929B1">
      <w:pPr>
        <w:pStyle w:val="104"/>
        <w:spacing w:before="240" w:after="240"/>
      </w:pPr>
      <w:bookmarkStart w:id="41" w:name="_Toc26986772"/>
      <w:bookmarkStart w:id="42" w:name="_Toc5329"/>
      <w:bookmarkStart w:id="43" w:name="_Toc26986531"/>
      <w:bookmarkStart w:id="44" w:name="_Toc26718931"/>
      <w:bookmarkStart w:id="45" w:name="_Toc97192965"/>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C61D4507C0A846C6A293A2815C662BA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BEB523">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EC539C">
      <w:pPr>
        <w:pStyle w:val="56"/>
        <w:ind w:firstLine="420"/>
        <w:rPr>
          <w:rFonts w:hint="eastAsia"/>
        </w:rPr>
      </w:pPr>
      <w:r>
        <w:rPr>
          <w:rFonts w:hint="eastAsia"/>
        </w:rPr>
        <w:t xml:space="preserve">GB 7718  食品安全国家标准 预包装食品标签通则 </w:t>
      </w:r>
    </w:p>
    <w:p w14:paraId="5FB23060">
      <w:pPr>
        <w:pStyle w:val="56"/>
        <w:ind w:firstLine="420"/>
        <w:rPr>
          <w:rFonts w:hint="eastAsia"/>
        </w:rPr>
      </w:pPr>
      <w:r>
        <w:rPr>
          <w:rFonts w:hint="eastAsia"/>
        </w:rPr>
        <w:t xml:space="preserve">GB 23350  限制商品过度包装要求 食品和化妆品 </w:t>
      </w:r>
    </w:p>
    <w:p w14:paraId="365864EF">
      <w:pPr>
        <w:pStyle w:val="56"/>
        <w:ind w:firstLine="420"/>
        <w:rPr>
          <w:rFonts w:hint="eastAsia"/>
        </w:rPr>
      </w:pPr>
      <w:r>
        <w:rPr>
          <w:rFonts w:hint="eastAsia"/>
        </w:rPr>
        <w:t>GB 28050  食品安全国家标准 预包装食品营养标签通则</w:t>
      </w:r>
    </w:p>
    <w:p w14:paraId="06996AA7">
      <w:pPr>
        <w:pStyle w:val="56"/>
        <w:ind w:firstLine="420"/>
        <w:rPr>
          <w:rFonts w:hint="eastAsia"/>
        </w:rPr>
      </w:pPr>
      <w:r>
        <w:rPr>
          <w:rFonts w:hint="eastAsia"/>
        </w:rPr>
        <w:t>GB/T 37029 食品追溯 信息记录要求</w:t>
      </w:r>
    </w:p>
    <w:p w14:paraId="4BFB66FE">
      <w:pPr>
        <w:pStyle w:val="104"/>
        <w:spacing w:before="240" w:after="240"/>
      </w:pPr>
      <w:bookmarkStart w:id="46" w:name="_Toc2640"/>
      <w:bookmarkStart w:id="47" w:name="_Toc97192966"/>
      <w:r>
        <w:rPr>
          <w:rFonts w:hint="eastAsia"/>
          <w:szCs w:val="21"/>
        </w:rPr>
        <w:t>术语和定义</w:t>
      </w:r>
      <w:bookmarkEnd w:id="46"/>
      <w:bookmarkEnd w:id="47"/>
    </w:p>
    <w:sdt>
      <w:sdtPr>
        <w:id w:val="-1909835108"/>
        <w:placeholder>
          <w:docPart w:val="239FE42155EA49CFA7C444EF7C84CBB1"/>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1EFEAE0">
          <w:pPr>
            <w:pStyle w:val="56"/>
            <w:ind w:firstLine="420"/>
          </w:pPr>
          <w:bookmarkStart w:id="48" w:name="_Toc26986532"/>
          <w:bookmarkEnd w:id="48"/>
          <w:r>
            <w:t>下列术语和定义适用于本文件。</w:t>
          </w:r>
        </w:p>
      </w:sdtContent>
    </w:sdt>
    <w:p w14:paraId="7DB8A8DD">
      <w:pPr>
        <w:pStyle w:val="56"/>
        <w:ind w:firstLine="420"/>
      </w:pPr>
    </w:p>
    <w:p w14:paraId="5B2DC006">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沁州黄</w:t>
      </w:r>
      <w:r>
        <w:rPr>
          <w:rFonts w:hint="eastAsia" w:ascii="黑体" w:hAnsi="黑体" w:eastAsia="黑体"/>
          <w:lang w:val="en-US" w:eastAsia="zh-CN"/>
        </w:rPr>
        <w:t>小米</w:t>
      </w:r>
      <w:r>
        <w:rPr>
          <w:rFonts w:hint="eastAsia" w:ascii="黑体" w:hAnsi="黑体" w:eastAsia="黑体"/>
        </w:rPr>
        <w:t>农食产品 qinzhou huang agricultural and food products</w:t>
      </w:r>
    </w:p>
    <w:p w14:paraId="6072AFEB">
      <w:pPr>
        <w:pStyle w:val="56"/>
        <w:ind w:firstLine="420"/>
      </w:pPr>
      <w:r>
        <w:rPr>
          <w:rFonts w:hint="eastAsia"/>
        </w:rPr>
        <w:t>符合沁州黄</w:t>
      </w:r>
      <w:r>
        <w:rPr>
          <w:rFonts w:hint="eastAsia"/>
          <w:lang w:val="en-US" w:eastAsia="zh-CN"/>
        </w:rPr>
        <w:t>小米</w:t>
      </w:r>
      <w:r>
        <w:rPr>
          <w:rFonts w:hint="eastAsia"/>
        </w:rPr>
        <w:t>区域公用品牌建设、管理过程及产品要求，并通过第三方合格评定机构认证的谷物及制品</w:t>
      </w:r>
      <w:r>
        <w:rPr>
          <w:rFonts w:hint="eastAsia"/>
          <w:lang w:eastAsia="zh-CN"/>
        </w:rPr>
        <w:t>（</w:t>
      </w:r>
      <w:r>
        <w:rPr>
          <w:rFonts w:hint="eastAsia"/>
          <w:lang w:val="en-US" w:eastAsia="zh-CN"/>
        </w:rPr>
        <w:t>包括谷子、小米和小米制品</w:t>
      </w:r>
      <w:r>
        <w:rPr>
          <w:rFonts w:hint="eastAsia"/>
          <w:lang w:eastAsia="zh-CN"/>
        </w:rPr>
        <w:t>）</w:t>
      </w:r>
      <w:r>
        <w:rPr>
          <w:rFonts w:hint="eastAsia"/>
        </w:rPr>
        <w:t>。</w:t>
      </w:r>
    </w:p>
    <w:p w14:paraId="3EA2E9B0">
      <w:pPr>
        <w:pStyle w:val="104"/>
        <w:spacing w:before="240" w:after="240"/>
        <w:rPr>
          <w:rFonts w:ascii="Times New Roman"/>
        </w:rPr>
      </w:pPr>
      <w:bookmarkStart w:id="49" w:name="_Toc4971"/>
      <w:r>
        <w:rPr>
          <w:rFonts w:hint="eastAsia"/>
        </w:rPr>
        <w:t>生产管理</w:t>
      </w:r>
      <w:bookmarkEnd w:id="49"/>
    </w:p>
    <w:p w14:paraId="3E254BC2">
      <w:pPr>
        <w:pStyle w:val="105"/>
        <w:spacing w:before="120" w:after="120"/>
        <w:rPr>
          <w:rFonts w:ascii="Times New Roman"/>
        </w:rPr>
      </w:pPr>
      <w:r>
        <w:rPr>
          <w:rFonts w:hint="eastAsia"/>
        </w:rPr>
        <w:t>文件和记录管理</w:t>
      </w:r>
    </w:p>
    <w:p w14:paraId="2D694E9A">
      <w:pPr>
        <w:pStyle w:val="65"/>
        <w:spacing w:before="120" w:after="120"/>
        <w:rPr>
          <w:rFonts w:ascii="Times New Roman"/>
        </w:rPr>
      </w:pPr>
      <w:r>
        <w:rPr>
          <w:rFonts w:hint="eastAsia"/>
        </w:rPr>
        <w:t>文件内容</w:t>
      </w:r>
    </w:p>
    <w:p w14:paraId="6859ABC9">
      <w:pPr>
        <w:spacing w:line="240" w:lineRule="auto"/>
        <w:ind w:firstLine="420" w:firstLineChars="200"/>
        <w:rPr>
          <w:rFonts w:ascii="Times New Roman" w:hAnsi="Times New Roman" w:cs="Calibri"/>
        </w:rPr>
      </w:pPr>
      <w:r>
        <w:rPr>
          <w:rFonts w:hint="eastAsia" w:ascii="宋体" w:hAnsi="宋体" w:cs="Calibri"/>
        </w:rPr>
        <w:t>应建立和实施必要的管理文件，包括但不限于以下内容：</w:t>
      </w:r>
    </w:p>
    <w:p w14:paraId="3FB11A34">
      <w:pPr>
        <w:numPr>
          <w:ilvl w:val="0"/>
          <w:numId w:val="32"/>
        </w:numPr>
        <w:adjustRightInd/>
        <w:spacing w:before="100" w:beforeAutospacing="1" w:after="100" w:afterAutospacing="1" w:line="240" w:lineRule="auto"/>
        <w:ind w:left="777" w:hanging="357"/>
        <w:jc w:val="left"/>
        <w:rPr>
          <w:rFonts w:ascii="Times New Roman" w:hAnsi="Times New Roman" w:cs="宋体"/>
          <w:kern w:val="0"/>
        </w:rPr>
      </w:pPr>
      <w:r>
        <w:rPr>
          <w:rFonts w:hint="eastAsia" w:ascii="宋体" w:hAnsi="宋体" w:cs="宋体"/>
          <w:kern w:val="0"/>
        </w:rPr>
        <w:t>种植、采收、加工、包装、贮藏、运输、检验等环节的管理、操作规程；</w:t>
      </w:r>
    </w:p>
    <w:p w14:paraId="3560AFE8">
      <w:pPr>
        <w:numPr>
          <w:ilvl w:val="0"/>
          <w:numId w:val="32"/>
        </w:numPr>
        <w:adjustRightInd/>
        <w:spacing w:before="100" w:beforeAutospacing="1" w:after="100" w:afterAutospacing="1" w:line="240" w:lineRule="auto"/>
        <w:ind w:left="777" w:hanging="357"/>
        <w:jc w:val="left"/>
        <w:rPr>
          <w:rFonts w:ascii="Times New Roman" w:hAnsi="Times New Roman" w:cs="宋体"/>
          <w:kern w:val="0"/>
        </w:rPr>
      </w:pPr>
      <w:r>
        <w:rPr>
          <w:rFonts w:hint="eastAsia" w:ascii="宋体" w:hAnsi="宋体" w:cs="宋体"/>
          <w:kern w:val="0"/>
        </w:rPr>
        <w:t>供应商评价、采购物品要求、服务要求等采购管理制度；</w:t>
      </w:r>
    </w:p>
    <w:p w14:paraId="74B9902F">
      <w:pPr>
        <w:numPr>
          <w:ilvl w:val="0"/>
          <w:numId w:val="32"/>
        </w:numPr>
        <w:adjustRightInd/>
        <w:spacing w:before="100" w:beforeAutospacing="1" w:after="100" w:afterAutospacing="1" w:line="240" w:lineRule="auto"/>
        <w:ind w:left="777" w:hanging="357"/>
        <w:jc w:val="left"/>
        <w:rPr>
          <w:rFonts w:ascii="Times New Roman" w:hAnsi="Times New Roman" w:cs="宋体"/>
          <w:kern w:val="0"/>
        </w:rPr>
      </w:pPr>
      <w:r>
        <w:rPr>
          <w:rFonts w:hint="eastAsia" w:ascii="宋体" w:hAnsi="宋体" w:cs="宋体"/>
          <w:kern w:val="0"/>
        </w:rPr>
        <w:t>食品原料及食品相关产品的验收制度；</w:t>
      </w:r>
    </w:p>
    <w:p w14:paraId="6C8C5662">
      <w:pPr>
        <w:numPr>
          <w:ilvl w:val="0"/>
          <w:numId w:val="32"/>
        </w:numPr>
        <w:adjustRightInd/>
        <w:spacing w:before="100" w:beforeAutospacing="1" w:after="100" w:afterAutospacing="1" w:line="240" w:lineRule="auto"/>
        <w:ind w:left="777" w:hanging="357"/>
        <w:jc w:val="left"/>
        <w:rPr>
          <w:rFonts w:ascii="Times New Roman" w:hAnsi="Times New Roman" w:cs="宋体"/>
          <w:kern w:val="0"/>
        </w:rPr>
      </w:pPr>
      <w:r>
        <w:rPr>
          <w:rFonts w:hint="eastAsia" w:ascii="宋体" w:hAnsi="宋体" w:cs="宋体"/>
          <w:kern w:val="0"/>
        </w:rPr>
        <w:t>人员、设备设施及加工环境相关的卫生管理制度；</w:t>
      </w:r>
    </w:p>
    <w:p w14:paraId="6CC9F92B">
      <w:pPr>
        <w:numPr>
          <w:ilvl w:val="0"/>
          <w:numId w:val="32"/>
        </w:numPr>
        <w:adjustRightInd/>
        <w:spacing w:before="100" w:beforeAutospacing="1" w:after="100" w:afterAutospacing="1" w:line="240" w:lineRule="auto"/>
        <w:ind w:left="777" w:hanging="357"/>
        <w:jc w:val="left"/>
        <w:rPr>
          <w:rFonts w:ascii="Times New Roman" w:hAnsi="Times New Roman" w:cs="宋体"/>
          <w:kern w:val="0"/>
        </w:rPr>
      </w:pPr>
      <w:r>
        <w:rPr>
          <w:rFonts w:hint="eastAsia" w:ascii="宋体" w:hAnsi="宋体" w:cs="宋体"/>
          <w:kern w:val="0"/>
        </w:rPr>
        <w:t>相关文件和记录。</w:t>
      </w:r>
    </w:p>
    <w:p w14:paraId="4AED7358">
      <w:pPr>
        <w:pStyle w:val="65"/>
        <w:spacing w:before="120" w:after="120"/>
        <w:rPr>
          <w:rFonts w:ascii="Times New Roman"/>
        </w:rPr>
      </w:pPr>
      <w:r>
        <w:rPr>
          <w:rFonts w:hint="eastAsia"/>
        </w:rPr>
        <w:t>记录内容</w:t>
      </w:r>
    </w:p>
    <w:p w14:paraId="45155319">
      <w:pPr>
        <w:spacing w:line="240" w:lineRule="auto"/>
        <w:ind w:firstLine="420" w:firstLineChars="200"/>
        <w:rPr>
          <w:rFonts w:ascii="Times New Roman" w:hAnsi="Times New Roman" w:cs="Calibri"/>
        </w:rPr>
      </w:pPr>
      <w:bookmarkStart w:id="50" w:name="OLE_LINK44"/>
      <w:bookmarkStart w:id="51" w:name="OLE_LINK43"/>
      <w:r>
        <w:rPr>
          <w:rFonts w:hint="eastAsia" w:ascii="宋体" w:hAnsi="宋体" w:cs="Calibri"/>
          <w:kern w:val="0"/>
        </w:rPr>
        <w:t>沁州黄</w:t>
      </w:r>
      <w:r>
        <w:rPr>
          <w:rFonts w:hint="eastAsia" w:ascii="宋体" w:hAnsi="宋体" w:cs="Calibri"/>
          <w:kern w:val="0"/>
          <w:lang w:val="en-US" w:eastAsia="zh-CN"/>
        </w:rPr>
        <w:t>小米</w:t>
      </w:r>
      <w:r>
        <w:rPr>
          <w:rFonts w:hint="eastAsia" w:ascii="宋体" w:hAnsi="宋体" w:cs="Calibri"/>
          <w:kern w:val="0"/>
        </w:rPr>
        <w:t>农食产品</w:t>
      </w:r>
      <w:bookmarkEnd w:id="50"/>
      <w:bookmarkEnd w:id="51"/>
      <w:r>
        <w:rPr>
          <w:rFonts w:hint="eastAsia" w:ascii="宋体" w:hAnsi="宋体" w:cs="Calibri"/>
          <w:kern w:val="0"/>
        </w:rPr>
        <w:t>生产</w:t>
      </w:r>
      <w:r>
        <w:rPr>
          <w:rFonts w:hint="eastAsia" w:ascii="宋体" w:hAnsi="宋体" w:cs="Calibri"/>
        </w:rPr>
        <w:t>、加工、经营者应建立并保持记录。记录应清晰准确，具有可追溯性，为沁州黄</w:t>
      </w:r>
      <w:r>
        <w:rPr>
          <w:rFonts w:hint="eastAsia" w:ascii="宋体" w:hAnsi="宋体" w:cs="Calibri"/>
          <w:lang w:val="en-US" w:eastAsia="zh-CN"/>
        </w:rPr>
        <w:t>小米</w:t>
      </w:r>
      <w:r>
        <w:rPr>
          <w:rFonts w:hint="eastAsia" w:ascii="宋体" w:hAnsi="宋体" w:cs="Calibri"/>
        </w:rPr>
        <w:t>区域公用品牌产品的生产、加工、经营活动提供有效证据。应包括但不限于以下内容：</w:t>
      </w:r>
    </w:p>
    <w:p w14:paraId="6DEE5380">
      <w:pPr>
        <w:numPr>
          <w:ilvl w:val="0"/>
          <w:numId w:val="33"/>
        </w:numPr>
        <w:adjustRightInd/>
        <w:spacing w:before="100" w:beforeAutospacing="1" w:after="100" w:afterAutospacing="1" w:line="240" w:lineRule="auto"/>
        <w:jc w:val="left"/>
        <w:rPr>
          <w:rFonts w:ascii="Times New Roman" w:hAnsi="Times New Roman" w:cs="宋体"/>
          <w:kern w:val="0"/>
        </w:rPr>
      </w:pPr>
      <w:r>
        <w:rPr>
          <w:rFonts w:hint="eastAsia" w:ascii="宋体" w:hAnsi="宋体" w:cs="宋体"/>
          <w:kern w:val="0"/>
        </w:rPr>
        <w:t>种子使用记录，包括品种、来源、时间、数量等；</w:t>
      </w:r>
    </w:p>
    <w:p w14:paraId="0D779885">
      <w:pPr>
        <w:numPr>
          <w:ilvl w:val="0"/>
          <w:numId w:val="33"/>
        </w:numPr>
        <w:adjustRightInd/>
        <w:spacing w:before="100" w:beforeAutospacing="1" w:after="100" w:afterAutospacing="1" w:line="240" w:lineRule="auto"/>
        <w:jc w:val="left"/>
        <w:rPr>
          <w:rFonts w:ascii="Times New Roman" w:hAnsi="Times New Roman" w:cs="宋体"/>
          <w:kern w:val="0"/>
        </w:rPr>
      </w:pPr>
      <w:r>
        <w:rPr>
          <w:rFonts w:hint="eastAsia" w:ascii="宋体" w:hAnsi="宋体" w:cs="宋体"/>
          <w:kern w:val="0"/>
        </w:rPr>
        <w:t>土壤培肥物质的使用记录，包括名称、来源、时间、数量等；</w:t>
      </w:r>
    </w:p>
    <w:p w14:paraId="1A9AABC2">
      <w:pPr>
        <w:numPr>
          <w:ilvl w:val="0"/>
          <w:numId w:val="33"/>
        </w:numPr>
        <w:adjustRightInd/>
        <w:spacing w:before="100" w:beforeAutospacing="1" w:after="100" w:afterAutospacing="1" w:line="240" w:lineRule="auto"/>
        <w:jc w:val="left"/>
        <w:rPr>
          <w:rFonts w:ascii="Times New Roman" w:hAnsi="Times New Roman" w:cs="宋体"/>
          <w:kern w:val="0"/>
        </w:rPr>
      </w:pPr>
      <w:r>
        <w:rPr>
          <w:rFonts w:hint="eastAsia" w:ascii="宋体" w:hAnsi="宋体" w:cs="宋体"/>
          <w:kern w:val="0"/>
        </w:rPr>
        <w:t>病、虫、草害控制物质的使用记录，包括名称、成分、时间、数量等；</w:t>
      </w:r>
    </w:p>
    <w:p w14:paraId="612669C4">
      <w:pPr>
        <w:numPr>
          <w:ilvl w:val="0"/>
          <w:numId w:val="33"/>
        </w:numPr>
        <w:adjustRightInd/>
        <w:spacing w:before="100" w:beforeAutospacing="1" w:after="100" w:afterAutospacing="1" w:line="240" w:lineRule="auto"/>
        <w:jc w:val="left"/>
        <w:rPr>
          <w:rFonts w:ascii="Times New Roman" w:hAnsi="Times New Roman" w:cs="宋体"/>
          <w:kern w:val="0"/>
        </w:rPr>
      </w:pPr>
      <w:r>
        <w:rPr>
          <w:rFonts w:hint="eastAsia" w:ascii="宋体" w:hAnsi="宋体" w:cs="宋体"/>
          <w:kern w:val="0"/>
        </w:rPr>
        <w:t>所有生产投人品的台账记录及购买单据，包括来源、数量、去向、库存等；</w:t>
      </w:r>
    </w:p>
    <w:p w14:paraId="0F378ED6">
      <w:pPr>
        <w:numPr>
          <w:ilvl w:val="0"/>
          <w:numId w:val="33"/>
        </w:numPr>
        <w:adjustRightInd/>
        <w:spacing w:before="100" w:beforeAutospacing="1" w:after="100" w:afterAutospacing="1" w:line="240" w:lineRule="auto"/>
        <w:jc w:val="left"/>
        <w:rPr>
          <w:rFonts w:ascii="Times New Roman" w:hAnsi="Times New Roman" w:cs="宋体"/>
          <w:kern w:val="0"/>
        </w:rPr>
      </w:pPr>
      <w:r>
        <w:rPr>
          <w:rFonts w:hint="eastAsia" w:ascii="宋体" w:hAnsi="宋体" w:cs="宋体"/>
          <w:kern w:val="0"/>
        </w:rPr>
        <w:t>谷子的收获、储存记录，包括品种、时间、数量等；</w:t>
      </w:r>
    </w:p>
    <w:p w14:paraId="69BDBF5F">
      <w:pPr>
        <w:numPr>
          <w:ilvl w:val="0"/>
          <w:numId w:val="33"/>
        </w:numPr>
        <w:adjustRightInd/>
        <w:spacing w:before="100" w:beforeAutospacing="1" w:after="100" w:afterAutospacing="1" w:line="240" w:lineRule="auto"/>
        <w:jc w:val="left"/>
        <w:rPr>
          <w:rFonts w:ascii="Times New Roman" w:hAnsi="Times New Roman" w:cs="宋体"/>
          <w:kern w:val="0"/>
        </w:rPr>
      </w:pPr>
      <w:r>
        <w:rPr>
          <w:rFonts w:hint="eastAsia" w:ascii="宋体" w:hAnsi="宋体" w:cs="宋体"/>
          <w:kern w:val="0"/>
        </w:rPr>
        <w:t>小米和小米制品的加工记录，包括原料、食品添加剂等采购、入出库、加工过程、包装、标识、贮藏、出库、运输等；</w:t>
      </w:r>
    </w:p>
    <w:p w14:paraId="336979E2">
      <w:pPr>
        <w:numPr>
          <w:ilvl w:val="0"/>
          <w:numId w:val="33"/>
        </w:numPr>
        <w:adjustRightInd/>
        <w:spacing w:before="100" w:beforeAutospacing="1" w:after="100" w:afterAutospacing="1" w:line="240" w:lineRule="auto"/>
        <w:jc w:val="left"/>
        <w:rPr>
          <w:rFonts w:ascii="Times New Roman" w:hAnsi="Times New Roman" w:cs="宋体"/>
          <w:kern w:val="0"/>
        </w:rPr>
      </w:pPr>
      <w:r>
        <w:rPr>
          <w:rFonts w:hint="eastAsia" w:ascii="宋体" w:hAnsi="宋体" w:cs="宋体"/>
          <w:kern w:val="0"/>
        </w:rPr>
        <w:t>工厂有害生物防治记录；</w:t>
      </w:r>
    </w:p>
    <w:p w14:paraId="0A10E1BF">
      <w:pPr>
        <w:numPr>
          <w:ilvl w:val="0"/>
          <w:numId w:val="33"/>
        </w:numPr>
        <w:adjustRightInd/>
        <w:spacing w:before="100" w:beforeAutospacing="1" w:after="100" w:afterAutospacing="1" w:line="240" w:lineRule="auto"/>
        <w:jc w:val="left"/>
        <w:rPr>
          <w:rFonts w:ascii="Times New Roman" w:hAnsi="Times New Roman" w:cs="宋体"/>
          <w:kern w:val="0"/>
        </w:rPr>
      </w:pPr>
      <w:r>
        <w:rPr>
          <w:rFonts w:hint="eastAsia" w:ascii="宋体" w:hAnsi="宋体" w:cs="宋体"/>
          <w:kern w:val="0"/>
        </w:rPr>
        <w:t>加工、贮存、运输设备设施清洁记录</w:t>
      </w:r>
      <w:r>
        <w:rPr>
          <w:rFonts w:hint="eastAsia" w:ascii="宋体" w:hAnsi="宋体" w:cs="宋体"/>
          <w:kern w:val="0"/>
          <w:lang w:eastAsia="zh-CN"/>
        </w:rPr>
        <w:t>。</w:t>
      </w:r>
    </w:p>
    <w:p w14:paraId="4819E9DB">
      <w:pPr>
        <w:pStyle w:val="65"/>
        <w:spacing w:before="120" w:after="120"/>
        <w:rPr>
          <w:rFonts w:ascii="Times New Roman"/>
        </w:rPr>
      </w:pPr>
      <w:r>
        <w:rPr>
          <w:rFonts w:hint="eastAsia"/>
        </w:rPr>
        <w:t>文件和记录控制</w:t>
      </w:r>
    </w:p>
    <w:p w14:paraId="0CA40C7E">
      <w:pPr>
        <w:spacing w:line="240" w:lineRule="auto"/>
        <w:ind w:firstLine="420" w:firstLineChars="200"/>
        <w:rPr>
          <w:rFonts w:ascii="Times New Roman" w:hAnsi="Times New Roman" w:cs="Calibri"/>
        </w:rPr>
      </w:pPr>
      <w:r>
        <w:rPr>
          <w:rFonts w:hint="eastAsia" w:ascii="宋体" w:hAnsi="宋体" w:cs="Calibri"/>
        </w:rPr>
        <w:t>所要求的文件和记录应是最新有效的。应确保在使用时可获得适用文件的有效版本，记录保存时间应符合国家相关法律法规要求。</w:t>
      </w:r>
    </w:p>
    <w:p w14:paraId="18E8CA80">
      <w:pPr>
        <w:pStyle w:val="105"/>
        <w:spacing w:before="120" w:after="120"/>
        <w:rPr>
          <w:rFonts w:ascii="Times New Roman"/>
        </w:rPr>
      </w:pPr>
      <w:r>
        <w:rPr>
          <w:rFonts w:hint="eastAsia"/>
        </w:rPr>
        <w:t>资源管理</w:t>
      </w:r>
    </w:p>
    <w:p w14:paraId="16B7CC2F">
      <w:pPr>
        <w:pStyle w:val="65"/>
        <w:spacing w:before="120" w:after="120"/>
        <w:rPr>
          <w:rFonts w:ascii="Times New Roman"/>
        </w:rPr>
      </w:pPr>
      <w:r>
        <w:rPr>
          <w:rFonts w:hint="eastAsia"/>
        </w:rPr>
        <w:t>基本要求</w:t>
      </w:r>
    </w:p>
    <w:p w14:paraId="16400550">
      <w:pPr>
        <w:spacing w:line="240" w:lineRule="auto"/>
        <w:ind w:firstLine="420" w:firstLineChars="200"/>
        <w:rPr>
          <w:rFonts w:ascii="Times New Roman" w:hAnsi="Times New Roman" w:cs="Calibri"/>
        </w:rPr>
      </w:pPr>
      <w:r>
        <w:rPr>
          <w:rFonts w:hint="eastAsia" w:ascii="宋体" w:hAnsi="宋体" w:cs="Calibri"/>
        </w:rPr>
        <w:t>沁州黄</w:t>
      </w:r>
      <w:r>
        <w:rPr>
          <w:rFonts w:hint="eastAsia" w:ascii="宋体" w:hAnsi="宋体" w:cs="Calibri"/>
          <w:lang w:val="en-US" w:eastAsia="zh-CN"/>
        </w:rPr>
        <w:t>小米</w:t>
      </w:r>
      <w:r>
        <w:rPr>
          <w:rFonts w:hint="eastAsia" w:ascii="宋体" w:hAnsi="宋体" w:cs="Calibri"/>
        </w:rPr>
        <w:t>农食产品的生产、加工、经营者应具备与其规模和技术相适应的资源，包括建筑物和相关设施及工作环境、人员、生产设备设施、运输设施、信息和通讯技术等。</w:t>
      </w:r>
    </w:p>
    <w:p w14:paraId="30F0D2A7">
      <w:pPr>
        <w:pStyle w:val="65"/>
        <w:spacing w:before="120" w:after="120"/>
        <w:rPr>
          <w:rFonts w:ascii="Times New Roman"/>
        </w:rPr>
      </w:pPr>
      <w:r>
        <w:rPr>
          <w:rFonts w:hint="eastAsia"/>
        </w:rPr>
        <w:t>人员管理</w:t>
      </w:r>
    </w:p>
    <w:p w14:paraId="3EA476BA">
      <w:pPr>
        <w:pStyle w:val="164"/>
        <w:rPr>
          <w:rFonts w:ascii="黑体" w:eastAsia="黑体"/>
        </w:rPr>
      </w:pPr>
      <w:bookmarkStart w:id="52" w:name="OLE_LINK24"/>
      <w:r>
        <w:rPr>
          <w:rFonts w:hint="eastAsia"/>
        </w:rPr>
        <w:t>应制定岗位人员资格能力要求和人员培训计划。应定期对员工进行岗位技能、食品安全、质量管理和生产操作规范的培训，并保存培训记录。</w:t>
      </w:r>
    </w:p>
    <w:bookmarkEnd w:id="52"/>
    <w:p w14:paraId="684C2CBB">
      <w:pPr>
        <w:pStyle w:val="164"/>
        <w:rPr>
          <w:rFonts w:hint="eastAsia"/>
        </w:rPr>
      </w:pPr>
      <w:bookmarkStart w:id="53" w:name="OLE_LINK26"/>
      <w:bookmarkStart w:id="54" w:name="OLE_LINK25"/>
      <w:r>
        <w:rPr>
          <w:rFonts w:hint="eastAsia"/>
        </w:rPr>
        <w:t>从事小米和小米制品生产、检验、包装等直接接触食品工作的人员应每年进行健康检查，取得有效健康证明后方可上岗。患有国务院卫生行政部门规定的有碍食品安全疾病的人员，不应从事直接接触食品的工作。</w:t>
      </w:r>
    </w:p>
    <w:p w14:paraId="2F836897">
      <w:pPr>
        <w:pStyle w:val="164"/>
        <w:rPr>
          <w:rFonts w:hint="eastAsia"/>
        </w:rPr>
      </w:pPr>
      <w:r>
        <w:rPr>
          <w:rFonts w:hint="eastAsia"/>
        </w:rPr>
        <w:t>小米和小米制品应具有专职或兼职的食品安全管理人员，应熟悉食品安全法律法规、食品安全标准及生产加工过程的风险控制要求，具备识别和处置潜在食品安全风险的能力。</w:t>
      </w:r>
    </w:p>
    <w:p w14:paraId="30D19F46">
      <w:pPr>
        <w:pStyle w:val="164"/>
        <w:rPr>
          <w:rFonts w:hint="eastAsia"/>
        </w:rPr>
      </w:pPr>
      <w:r>
        <w:rPr>
          <w:rFonts w:hint="eastAsia"/>
        </w:rPr>
        <w:t>进入生产加工区域的人员应穿着符合卫生要求的工作服、工作帽和鞋靴，并按要求进行洗手、消毒。非生产人员未经批准不得进入生产作业区；进入时应遵守相应的卫生管理规定。</w:t>
      </w:r>
    </w:p>
    <w:bookmarkEnd w:id="53"/>
    <w:bookmarkEnd w:id="54"/>
    <w:p w14:paraId="43D3B87B">
      <w:pPr>
        <w:pStyle w:val="104"/>
        <w:spacing w:before="240" w:after="240"/>
        <w:rPr>
          <w:rFonts w:hint="eastAsia" w:ascii="Times New Roman"/>
        </w:rPr>
      </w:pPr>
      <w:bookmarkStart w:id="55" w:name="_Toc28415"/>
      <w:r>
        <w:rPr>
          <w:rFonts w:hint="eastAsia"/>
        </w:rPr>
        <w:t>包装、标识和标签</w:t>
      </w:r>
      <w:bookmarkEnd w:id="55"/>
    </w:p>
    <w:p w14:paraId="2391A807">
      <w:pPr>
        <w:pStyle w:val="105"/>
        <w:spacing w:before="120" w:after="120"/>
        <w:rPr>
          <w:rFonts w:ascii="Times New Roman"/>
        </w:rPr>
      </w:pPr>
      <w:r>
        <w:rPr>
          <w:rFonts w:hint="eastAsia"/>
        </w:rPr>
        <w:t>包装</w:t>
      </w:r>
      <w:r>
        <w:rPr>
          <w:rFonts w:hint="eastAsia" w:ascii="Times New Roman"/>
        </w:rPr>
        <w:t xml:space="preserve"> </w:t>
      </w:r>
    </w:p>
    <w:p w14:paraId="3F5378AF">
      <w:pPr>
        <w:pStyle w:val="165"/>
      </w:pPr>
      <w:bookmarkStart w:id="56" w:name="OLE_LINK28"/>
      <w:bookmarkStart w:id="57" w:name="OLE_LINK27"/>
      <w:r>
        <w:rPr>
          <w:rFonts w:hint="eastAsia"/>
        </w:rPr>
        <w:t>应使用符合国家食品安全相关标准的包装材料，不得使用含有有毒有害物质的材料。直接接触小米及小米制品的包装材料应具备食品级证明。</w:t>
      </w:r>
    </w:p>
    <w:p w14:paraId="42F19568">
      <w:pPr>
        <w:pStyle w:val="165"/>
        <w:rPr>
          <w:rFonts w:hint="eastAsia"/>
        </w:rPr>
      </w:pPr>
      <w:r>
        <w:rPr>
          <w:rFonts w:hint="eastAsia"/>
        </w:rPr>
        <w:t>应使用具有良好的防潮、防虫、防污染性能的包装材料，确保产品在储运过程中质量稳定。</w:t>
      </w:r>
    </w:p>
    <w:p w14:paraId="305E7B16">
      <w:pPr>
        <w:pStyle w:val="165"/>
        <w:rPr>
          <w:rFonts w:hint="eastAsia"/>
        </w:rPr>
      </w:pPr>
      <w:r>
        <w:rPr>
          <w:rFonts w:hint="eastAsia"/>
        </w:rPr>
        <w:t>包装应采用减量化设计，且符合GB 23350的规定。</w:t>
      </w:r>
    </w:p>
    <w:p w14:paraId="6333BF72">
      <w:pPr>
        <w:pStyle w:val="165"/>
        <w:rPr>
          <w:rFonts w:hint="eastAsia"/>
        </w:rPr>
      </w:pPr>
      <w:r>
        <w:rPr>
          <w:rFonts w:hint="eastAsia"/>
        </w:rPr>
        <w:t>鼓励使用可重复利用、可回收或可生物降解的符合食品安全相关标准要求的环保包装材料。</w:t>
      </w:r>
    </w:p>
    <w:bookmarkEnd w:id="56"/>
    <w:bookmarkEnd w:id="57"/>
    <w:p w14:paraId="0A6BCD2A">
      <w:pPr>
        <w:pStyle w:val="105"/>
        <w:spacing w:before="120" w:after="120"/>
        <w:rPr>
          <w:rFonts w:hint="eastAsia" w:ascii="Times New Roman"/>
        </w:rPr>
      </w:pPr>
      <w:r>
        <w:rPr>
          <w:rFonts w:hint="eastAsia"/>
        </w:rPr>
        <w:t>标识和标签</w:t>
      </w:r>
      <w:r>
        <w:rPr>
          <w:rFonts w:hint="eastAsia" w:ascii="Times New Roman"/>
        </w:rPr>
        <w:t xml:space="preserve"> </w:t>
      </w:r>
    </w:p>
    <w:p w14:paraId="0C818249">
      <w:pPr>
        <w:pStyle w:val="165"/>
      </w:pPr>
      <w:bookmarkStart w:id="58" w:name="OLE_LINK29"/>
      <w:r>
        <w:rPr>
          <w:rFonts w:hint="eastAsia"/>
        </w:rPr>
        <w:t>沁州黄</w:t>
      </w:r>
      <w:r>
        <w:rPr>
          <w:rFonts w:hint="eastAsia"/>
          <w:lang w:val="en-US" w:eastAsia="zh-CN"/>
        </w:rPr>
        <w:t>小米</w:t>
      </w:r>
      <w:r>
        <w:rPr>
          <w:rFonts w:hint="eastAsia"/>
        </w:rPr>
        <w:t>区域公用品牌标识应在获得授权或认证的产品种类和范围内规范使用，并持续符合品牌管理相关要求。</w:t>
      </w:r>
    </w:p>
    <w:bookmarkEnd w:id="58"/>
    <w:p w14:paraId="6AB12F21">
      <w:pPr>
        <w:pStyle w:val="165"/>
        <w:rPr>
          <w:rFonts w:hint="eastAsia"/>
        </w:rPr>
      </w:pPr>
      <w:r>
        <w:rPr>
          <w:rFonts w:hint="eastAsia"/>
        </w:rPr>
        <w:t>应按照《沁州黄</w:t>
      </w:r>
      <w:r>
        <w:rPr>
          <w:rFonts w:hint="eastAsia"/>
          <w:lang w:val="en-US" w:eastAsia="zh-CN"/>
        </w:rPr>
        <w:t>小米</w:t>
      </w:r>
      <w:r>
        <w:rPr>
          <w:rFonts w:hint="eastAsia"/>
        </w:rPr>
        <w:t>区域公用品牌标识管理要求》在产品最小销售包装上加贴沁州黄</w:t>
      </w:r>
      <w:r>
        <w:rPr>
          <w:rFonts w:hint="eastAsia"/>
          <w:lang w:val="en-US" w:eastAsia="zh-CN"/>
        </w:rPr>
        <w:t>小米</w:t>
      </w:r>
      <w:r>
        <w:rPr>
          <w:rFonts w:hint="eastAsia"/>
        </w:rPr>
        <w:t>溯源码。</w:t>
      </w:r>
    </w:p>
    <w:p w14:paraId="530B451D">
      <w:pPr>
        <w:pStyle w:val="165"/>
        <w:rPr>
          <w:rFonts w:hint="eastAsia"/>
        </w:rPr>
      </w:pPr>
      <w:r>
        <w:rPr>
          <w:rFonts w:hint="eastAsia"/>
        </w:rPr>
        <w:t>应符合《农产品包装和标识管理办法》及《食品标识监督管理办法》的要求；预包装食品的标签还应符合GB 7718和GB 28050的规定。</w:t>
      </w:r>
    </w:p>
    <w:p w14:paraId="482DDB48">
      <w:pPr>
        <w:pStyle w:val="104"/>
        <w:spacing w:before="240" w:after="240"/>
        <w:rPr>
          <w:rFonts w:hint="eastAsia" w:ascii="Times New Roman"/>
        </w:rPr>
      </w:pPr>
      <w:bookmarkStart w:id="59" w:name="_Toc7304"/>
      <w:r>
        <w:rPr>
          <w:rFonts w:hint="eastAsia"/>
        </w:rPr>
        <w:t>追溯管理</w:t>
      </w:r>
      <w:bookmarkEnd w:id="59"/>
    </w:p>
    <w:p w14:paraId="4EF070A3">
      <w:pPr>
        <w:pStyle w:val="162"/>
        <w:rPr>
          <w:rFonts w:ascii="Times New Roman"/>
        </w:rPr>
      </w:pPr>
      <w:bookmarkStart w:id="60" w:name="OLE_LINK30"/>
      <w:r>
        <w:rPr>
          <w:rFonts w:hint="eastAsia"/>
        </w:rPr>
        <w:t>应</w:t>
      </w:r>
      <w:r>
        <w:rPr>
          <w:rFonts w:hint="eastAsia"/>
          <w:lang w:val="en-US" w:eastAsia="zh-CN"/>
        </w:rPr>
        <w:t>按照国家法律法规</w:t>
      </w:r>
      <w:r>
        <w:rPr>
          <w:rFonts w:hint="eastAsia"/>
        </w:rPr>
        <w:t>建立并实施覆盖谷子种植、收购、</w:t>
      </w:r>
      <w:r>
        <w:rPr>
          <w:rFonts w:hint="eastAsia"/>
          <w:lang w:val="en-US" w:eastAsia="zh-CN"/>
        </w:rPr>
        <w:t>贮藏</w:t>
      </w:r>
      <w:r>
        <w:rPr>
          <w:rFonts w:hint="eastAsia"/>
        </w:rPr>
        <w:t>、小米加工、小米制品生产、检验、包装、销售等环节的食品安全追溯体系</w:t>
      </w:r>
      <w:r>
        <w:rPr>
          <w:rFonts w:hint="eastAsia"/>
          <w:lang w:eastAsia="zh-CN"/>
        </w:rPr>
        <w:t>。</w:t>
      </w:r>
    </w:p>
    <w:bookmarkEnd w:id="60"/>
    <w:p w14:paraId="3F8CFD2D">
      <w:pPr>
        <w:pStyle w:val="162"/>
      </w:pPr>
      <w:bookmarkStart w:id="61" w:name="OLE_LINK32"/>
      <w:bookmarkStart w:id="62" w:name="OLE_LINK31"/>
      <w:r>
        <w:rPr>
          <w:rFonts w:hint="eastAsia"/>
        </w:rPr>
        <w:t>追溯体系应能够实现从原料来源到成品销售的正向追踪与反向溯源，确保各环节信息的唯一性与关联性。</w:t>
      </w:r>
    </w:p>
    <w:p w14:paraId="139749B9">
      <w:pPr>
        <w:pStyle w:val="162"/>
      </w:pPr>
      <w:bookmarkStart w:id="63" w:name="OLE_LINK33"/>
      <w:bookmarkStart w:id="64" w:name="OLE_LINK34"/>
      <w:r>
        <w:rPr>
          <w:rFonts w:hint="eastAsia"/>
          <w:lang w:val="en-US" w:eastAsia="zh-CN"/>
        </w:rPr>
        <w:t>谷子追溯信息记录符合国家法律法规的要求</w:t>
      </w:r>
      <w:r>
        <w:rPr>
          <w:rFonts w:hint="eastAsia"/>
        </w:rPr>
        <w:t>。</w:t>
      </w:r>
      <w:r>
        <w:rPr>
          <w:rFonts w:hint="eastAsia"/>
          <w:lang w:val="en-US" w:eastAsia="zh-CN"/>
        </w:rPr>
        <w:t>小米制品追溯信息记录应符合GB/T 37029的规定</w:t>
      </w:r>
      <w:r>
        <w:rPr>
          <w:rFonts w:hint="eastAsia"/>
          <w:lang w:eastAsia="zh-CN"/>
        </w:rPr>
        <w:t>。</w:t>
      </w:r>
    </w:p>
    <w:bookmarkEnd w:id="61"/>
    <w:bookmarkEnd w:id="62"/>
    <w:bookmarkEnd w:id="63"/>
    <w:bookmarkEnd w:id="64"/>
    <w:p w14:paraId="75AB31C0">
      <w:pPr>
        <w:pStyle w:val="162"/>
      </w:pPr>
      <w:r>
        <w:rPr>
          <w:rFonts w:hint="eastAsia"/>
        </w:rPr>
        <w:t>应定期进行追溯体系运行的有效性验证，每年至少组织一次模拟追溯或模拟召回演练。</w:t>
      </w:r>
    </w:p>
    <w:p w14:paraId="64C776D4">
      <w:pPr>
        <w:pStyle w:val="104"/>
        <w:spacing w:before="240" w:after="240"/>
        <w:rPr>
          <w:rFonts w:ascii="Times New Roman"/>
        </w:rPr>
      </w:pPr>
      <w:bookmarkStart w:id="65" w:name="_Toc9301"/>
      <w:r>
        <w:rPr>
          <w:rFonts w:hint="eastAsia"/>
        </w:rPr>
        <w:t>销售管理</w:t>
      </w:r>
      <w:bookmarkEnd w:id="65"/>
    </w:p>
    <w:p w14:paraId="2A3C0535">
      <w:pPr>
        <w:pStyle w:val="162"/>
        <w:rPr>
          <w:rFonts w:ascii="Times New Roman"/>
        </w:rPr>
      </w:pPr>
      <w:bookmarkStart w:id="66" w:name="OLE_LINK35"/>
      <w:r>
        <w:rPr>
          <w:rFonts w:hint="eastAsia"/>
        </w:rPr>
        <w:t>应建立并实施销售管理制度，确保产品信息真实准确，销售记录完整可追溯。</w:t>
      </w:r>
    </w:p>
    <w:bookmarkEnd w:id="66"/>
    <w:p w14:paraId="040D5B4C">
      <w:pPr>
        <w:pStyle w:val="162"/>
      </w:pPr>
      <w:bookmarkStart w:id="67" w:name="OLE_LINK37"/>
      <w:bookmarkStart w:id="68" w:name="OLE_LINK36"/>
      <w:r>
        <w:rPr>
          <w:rFonts w:hint="eastAsia"/>
        </w:rPr>
        <w:t>应建立并实施客户投诉处理与售后服务机制，及时响应质量问题并持续改进。</w:t>
      </w:r>
    </w:p>
    <w:p w14:paraId="52808E08">
      <w:pPr>
        <w:pStyle w:val="162"/>
      </w:pPr>
      <w:r>
        <w:rPr>
          <w:rFonts w:hint="eastAsia"/>
        </w:rPr>
        <w:t>应建立并实施产品召回制度，发现质量安全问题时应立即召回并按程序报告。</w:t>
      </w:r>
    </w:p>
    <w:bookmarkEnd w:id="67"/>
    <w:bookmarkEnd w:id="68"/>
    <w:p w14:paraId="57350C52">
      <w:pPr>
        <w:pStyle w:val="104"/>
        <w:spacing w:before="240" w:after="240"/>
        <w:rPr>
          <w:rFonts w:ascii="Times New Roman"/>
        </w:rPr>
      </w:pPr>
      <w:bookmarkStart w:id="69" w:name="_Toc10275"/>
      <w:r>
        <w:rPr>
          <w:rFonts w:hint="eastAsia"/>
        </w:rPr>
        <w:t>品牌建设</w:t>
      </w:r>
      <w:bookmarkEnd w:id="69"/>
    </w:p>
    <w:p w14:paraId="03A3F8F7">
      <w:pPr>
        <w:pStyle w:val="162"/>
        <w:rPr>
          <w:rFonts w:ascii="Times New Roman"/>
        </w:rPr>
      </w:pPr>
      <w:bookmarkStart w:id="70" w:name="OLE_LINK38"/>
      <w:bookmarkStart w:id="71" w:name="OLE_LINK39"/>
      <w:r>
        <w:rPr>
          <w:rFonts w:hint="eastAsia"/>
        </w:rPr>
        <w:t>应在产品设计、包装及宣传推广中传承长治市域文化，彰显区域人文特色，体现沁州黄</w:t>
      </w:r>
      <w:r>
        <w:rPr>
          <w:rFonts w:hint="eastAsia"/>
          <w:lang w:val="en-US" w:eastAsia="zh-CN"/>
        </w:rPr>
        <w:t>小米</w:t>
      </w:r>
      <w:r>
        <w:rPr>
          <w:rFonts w:hint="eastAsia"/>
        </w:rPr>
        <w:t>区域公用品牌的核心价值和文化内涵。</w:t>
      </w:r>
    </w:p>
    <w:bookmarkEnd w:id="70"/>
    <w:bookmarkEnd w:id="71"/>
    <w:p w14:paraId="45FE98D7">
      <w:pPr>
        <w:pStyle w:val="162"/>
      </w:pPr>
      <w:r>
        <w:rPr>
          <w:rFonts w:hint="eastAsia"/>
        </w:rPr>
        <w:t>应自觉维护沁州黄</w:t>
      </w:r>
      <w:r>
        <w:rPr>
          <w:rFonts w:hint="eastAsia"/>
          <w:lang w:val="en-US" w:eastAsia="zh-CN"/>
        </w:rPr>
        <w:t>小米</w:t>
      </w:r>
      <w:r>
        <w:rPr>
          <w:rFonts w:hint="eastAsia"/>
        </w:rPr>
        <w:t>区域公用品牌声誉，不得从事任何损害品牌形象的行为。</w:t>
      </w:r>
    </w:p>
    <w:p w14:paraId="5F6EB842">
      <w:pPr>
        <w:pStyle w:val="162"/>
      </w:pPr>
      <w:r>
        <w:rPr>
          <w:rFonts w:hint="eastAsia"/>
        </w:rPr>
        <w:t>应积极参与沁州黄</w:t>
      </w:r>
      <w:r>
        <w:rPr>
          <w:rFonts w:hint="eastAsia"/>
          <w:lang w:val="en-US" w:eastAsia="zh-CN"/>
        </w:rPr>
        <w:t>小米</w:t>
      </w:r>
      <w:r>
        <w:rPr>
          <w:rFonts w:hint="eastAsia"/>
        </w:rPr>
        <w:t>区域公用品牌统一组织的宣传推介活动，扩大品牌知名度和影响力。</w:t>
      </w:r>
    </w:p>
    <w:p w14:paraId="2BBAC9C4">
      <w:pPr>
        <w:pStyle w:val="162"/>
      </w:pPr>
      <w:r>
        <w:rPr>
          <w:rFonts w:hint="eastAsia"/>
        </w:rPr>
        <w:t>鼓励企业建立自有商标品牌，在获准使用沁州黄</w:t>
      </w:r>
      <w:r>
        <w:rPr>
          <w:rFonts w:hint="eastAsia"/>
          <w:lang w:val="en-US" w:eastAsia="zh-CN"/>
        </w:rPr>
        <w:t>小米</w:t>
      </w:r>
      <w:r>
        <w:rPr>
          <w:rFonts w:hint="eastAsia"/>
        </w:rPr>
        <w:t>区域公用品牌标识的基础上，形成</w:t>
      </w:r>
      <w:r>
        <w:rPr>
          <w:rFonts w:hint="eastAsia"/>
          <w:lang w:eastAsia="zh-CN"/>
        </w:rPr>
        <w:t>“</w:t>
      </w:r>
      <w:r>
        <w:rPr>
          <w:rFonts w:hint="eastAsia"/>
        </w:rPr>
        <w:t>区域公用品牌+企业自有商标品牌”的双标识营销推广体系。</w:t>
      </w:r>
    </w:p>
    <w:p w14:paraId="12749048">
      <w:pPr>
        <w:pStyle w:val="104"/>
        <w:spacing w:before="240" w:after="240"/>
        <w:rPr>
          <w:rFonts w:ascii="Times New Roman"/>
        </w:rPr>
      </w:pPr>
      <w:bookmarkStart w:id="72" w:name="_Toc9669"/>
      <w:r>
        <w:rPr>
          <w:rFonts w:hint="eastAsia"/>
        </w:rPr>
        <w:t>可持续发展和社会责任</w:t>
      </w:r>
      <w:bookmarkEnd w:id="72"/>
    </w:p>
    <w:p w14:paraId="6E2E3567">
      <w:pPr>
        <w:pStyle w:val="162"/>
        <w:rPr>
          <w:rFonts w:ascii="Times New Roman"/>
        </w:rPr>
      </w:pPr>
      <w:bookmarkStart w:id="73" w:name="OLE_LINK41"/>
      <w:bookmarkStart w:id="74" w:name="OLE_LINK40"/>
      <w:r>
        <w:rPr>
          <w:rFonts w:hint="eastAsia"/>
        </w:rPr>
        <w:t>应采取科学的过程管理和检测手段，保障产品质量和安全，履行质量安全主体责任。</w:t>
      </w:r>
    </w:p>
    <w:bookmarkEnd w:id="73"/>
    <w:bookmarkEnd w:id="74"/>
    <w:p w14:paraId="302C74D2">
      <w:pPr>
        <w:pStyle w:val="162"/>
      </w:pPr>
      <w:bookmarkStart w:id="75" w:name="OLE_LINK42"/>
      <w:r>
        <w:rPr>
          <w:rFonts w:hint="eastAsia"/>
        </w:rPr>
        <w:t>应制定并实施生产场所废弃物管理制度，保护生态环境，做到绿色环保、低碳节能、资源节约。</w:t>
      </w:r>
    </w:p>
    <w:p w14:paraId="7DB47529">
      <w:pPr>
        <w:pStyle w:val="162"/>
      </w:pPr>
      <w:r>
        <w:rPr>
          <w:rFonts w:hint="eastAsia"/>
        </w:rPr>
        <w:t>应在工作场所配备必要的劳动防护用品，履行职业病防治主体责任，保障职工安全和健康。</w:t>
      </w:r>
    </w:p>
    <w:p w14:paraId="5FAB8F63">
      <w:pPr>
        <w:pStyle w:val="162"/>
      </w:pPr>
      <w:r>
        <w:rPr>
          <w:rFonts w:hint="eastAsia"/>
        </w:rPr>
        <w:t>应依法保障员工合法权益，建立健全员工培训机制，提升员工职业技能和安全意识。</w:t>
      </w:r>
    </w:p>
    <w:p w14:paraId="65BD683C">
      <w:pPr>
        <w:pStyle w:val="162"/>
      </w:pPr>
      <w:r>
        <w:rPr>
          <w:rFonts w:hint="eastAsia"/>
        </w:rPr>
        <w:t>应积极参与乡村振兴，带动农户增收致富，传承长治市域小米文化，促进区域经济协调发展</w:t>
      </w:r>
      <w:r>
        <w:rPr>
          <w:rFonts w:hint="eastAsia"/>
          <w:lang w:eastAsia="zh-CN"/>
        </w:rPr>
        <w:t>。</w:t>
      </w:r>
    </w:p>
    <w:p w14:paraId="7E9717F6">
      <w:pPr>
        <w:pStyle w:val="162"/>
        <w:rPr>
          <w:rFonts w:hint="eastAsia"/>
        </w:rPr>
      </w:pPr>
      <w:r>
        <w:rPr>
          <w:rFonts w:hint="eastAsia"/>
        </w:rPr>
        <w:t>鼓励支持公益事业，制定符合自身发展特点的品牌战略，持续提升品牌价值和引导消费的能力。</w:t>
      </w:r>
      <w:bookmarkEnd w:id="75"/>
    </w:p>
    <w:bookmarkEnd w:id="20"/>
    <w:p w14:paraId="524ED255">
      <w:pPr>
        <w:pStyle w:val="56"/>
        <w:ind w:firstLine="0" w:firstLineChars="0"/>
        <w:jc w:val="center"/>
        <w:rPr>
          <w:rFonts w:hint="eastAsia"/>
        </w:rPr>
      </w:pPr>
      <w:bookmarkStart w:id="76"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6"/>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C113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2F35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ED7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E7ED2">
    <w:pPr>
      <w:pStyle w:val="52"/>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5581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F42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3FFB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F053B">
    <w:pPr>
      <w:pStyle w:val="61"/>
    </w:pPr>
    <w:r>
      <w:fldChar w:fldCharType="begin"/>
    </w:r>
    <w:r>
      <w:instrText xml:space="preserve"> STYLEREF  标准文件_文件编号  \* MERGEFORMAT </w:instrText>
    </w:r>
    <w:r>
      <w:fldChar w:fldCharType="separate"/>
    </w:r>
    <w:r>
      <w:t>T/SXMYT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20D54">
    <w:pPr>
      <w:pStyle w:val="18"/>
      <w:jc w:val="right"/>
    </w:pPr>
    <w:r>
      <w:fldChar w:fldCharType="begin"/>
    </w:r>
    <w:r>
      <w:instrText xml:space="preserve"> STYLEREF  标准文件_文件编号  \* MERGEFORMAT </w:instrText>
    </w:r>
    <w:r>
      <w:fldChar w:fldCharType="separate"/>
    </w:r>
    <w:r>
      <w:t>T/SXMYT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B44EB2"/>
    <w:multiLevelType w:val="multilevel"/>
    <w:tmpl w:val="0AB44EB2"/>
    <w:lvl w:ilvl="0" w:tentative="0">
      <w:start w:val="1"/>
      <w:numFmt w:val="lowerLetter"/>
      <w:lvlText w:val="%1)"/>
      <w:lvlJc w:val="left"/>
      <w:pPr>
        <w:ind w:left="780" w:hanging="360"/>
      </w:pPr>
      <w:rPr>
        <w:rFonts w:hint="default" w:ascii="Times New Roman" w:hAnsi="Times New Roman" w:cs="宋体"/>
      </w:rPr>
    </w:lvl>
    <w:lvl w:ilvl="1" w:tentative="0">
      <w:start w:val="1"/>
      <w:numFmt w:val="lowerLetter"/>
      <w:lvlText w:val="%2)"/>
      <w:lvlJc w:val="left"/>
      <w:pPr>
        <w:ind w:left="1260" w:hanging="420"/>
      </w:pPr>
      <w:rPr>
        <w:rFonts w:hint="default" w:ascii="Times New Roman" w:hAnsi="Times New Roman" w:cs="Times New Roman"/>
      </w:rPr>
    </w:lvl>
    <w:lvl w:ilvl="2" w:tentative="0">
      <w:start w:val="1"/>
      <w:numFmt w:val="lowerRoman"/>
      <w:lvlText w:val="%3."/>
      <w:lvlJc w:val="right"/>
      <w:pPr>
        <w:ind w:left="1680" w:hanging="420"/>
      </w:pPr>
      <w:rPr>
        <w:rFonts w:hint="default" w:ascii="Times New Roman" w:hAnsi="Times New Roman" w:cs="Times New Roman"/>
      </w:rPr>
    </w:lvl>
    <w:lvl w:ilvl="3" w:tentative="0">
      <w:start w:val="1"/>
      <w:numFmt w:val="decimal"/>
      <w:lvlText w:val="%4."/>
      <w:lvlJc w:val="left"/>
      <w:pPr>
        <w:ind w:left="2100" w:hanging="420"/>
      </w:pPr>
      <w:rPr>
        <w:rFonts w:hint="default" w:ascii="Times New Roman" w:hAnsi="Times New Roman" w:cs="Times New Roman"/>
      </w:rPr>
    </w:lvl>
    <w:lvl w:ilvl="4" w:tentative="0">
      <w:start w:val="1"/>
      <w:numFmt w:val="lowerLetter"/>
      <w:lvlText w:val="%5)"/>
      <w:lvlJc w:val="left"/>
      <w:pPr>
        <w:ind w:left="2520" w:hanging="420"/>
      </w:pPr>
      <w:rPr>
        <w:rFonts w:hint="default" w:ascii="Times New Roman" w:hAnsi="Times New Roman" w:cs="Times New Roman"/>
      </w:rPr>
    </w:lvl>
    <w:lvl w:ilvl="5" w:tentative="0">
      <w:start w:val="1"/>
      <w:numFmt w:val="lowerRoman"/>
      <w:lvlText w:val="%6."/>
      <w:lvlJc w:val="right"/>
      <w:pPr>
        <w:ind w:left="2940" w:hanging="420"/>
      </w:pPr>
      <w:rPr>
        <w:rFonts w:hint="default" w:ascii="Times New Roman" w:hAnsi="Times New Roman" w:cs="Times New Roman"/>
      </w:rPr>
    </w:lvl>
    <w:lvl w:ilvl="6" w:tentative="0">
      <w:start w:val="1"/>
      <w:numFmt w:val="decimal"/>
      <w:lvlText w:val="%7."/>
      <w:lvlJc w:val="left"/>
      <w:pPr>
        <w:ind w:left="3360" w:hanging="420"/>
      </w:pPr>
      <w:rPr>
        <w:rFonts w:hint="default" w:ascii="Times New Roman" w:hAnsi="Times New Roman" w:cs="Times New Roman"/>
      </w:rPr>
    </w:lvl>
    <w:lvl w:ilvl="7" w:tentative="0">
      <w:start w:val="1"/>
      <w:numFmt w:val="lowerLetter"/>
      <w:lvlText w:val="%8)"/>
      <w:lvlJc w:val="left"/>
      <w:pPr>
        <w:ind w:left="3780" w:hanging="420"/>
      </w:pPr>
      <w:rPr>
        <w:rFonts w:hint="default" w:ascii="Times New Roman" w:hAnsi="Times New Roman" w:cs="Times New Roman"/>
      </w:rPr>
    </w:lvl>
    <w:lvl w:ilvl="8" w:tentative="0">
      <w:start w:val="1"/>
      <w:numFmt w:val="lowerRoman"/>
      <w:lvlText w:val="%9."/>
      <w:lvlJc w:val="right"/>
      <w:pPr>
        <w:ind w:left="4200" w:hanging="420"/>
      </w:pPr>
      <w:rPr>
        <w:rFonts w:hint="default" w:ascii="Times New Roman" w:hAnsi="Times New Roman" w:cs="Times New Roman"/>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2"/>
  </w:num>
  <w:num w:numId="28">
    <w:abstractNumId w:val="5"/>
  </w:num>
  <w:num w:numId="29">
    <w:abstractNumId w:val="15"/>
  </w:num>
  <w:num w:numId="30">
    <w:abstractNumId w:val="25"/>
  </w:num>
  <w:num w:numId="31">
    <w:abstractNumId w:val="23"/>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2EF"/>
    <w:rsid w:val="0000040A"/>
    <w:rsid w:val="00000A94"/>
    <w:rsid w:val="00001972"/>
    <w:rsid w:val="00001D9A"/>
    <w:rsid w:val="00002D44"/>
    <w:rsid w:val="00007B3A"/>
    <w:rsid w:val="000107E0"/>
    <w:rsid w:val="00011FDE"/>
    <w:rsid w:val="00012FFD"/>
    <w:rsid w:val="00014162"/>
    <w:rsid w:val="00014340"/>
    <w:rsid w:val="00016A9C"/>
    <w:rsid w:val="00020FC7"/>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1AB"/>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0DB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2EF"/>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9E91BE9"/>
    <w:rsid w:val="0F264E85"/>
    <w:rsid w:val="13743CE5"/>
    <w:rsid w:val="146D2C0E"/>
    <w:rsid w:val="160E21CF"/>
    <w:rsid w:val="18650209"/>
    <w:rsid w:val="1BAF5382"/>
    <w:rsid w:val="280B71C3"/>
    <w:rsid w:val="2BD511B3"/>
    <w:rsid w:val="2E0F48DF"/>
    <w:rsid w:val="2E4F2F2D"/>
    <w:rsid w:val="36FD372B"/>
    <w:rsid w:val="3B131EB2"/>
    <w:rsid w:val="3BD50F16"/>
    <w:rsid w:val="3CAE2343"/>
    <w:rsid w:val="3DD5344F"/>
    <w:rsid w:val="42B23D5F"/>
    <w:rsid w:val="4541761C"/>
    <w:rsid w:val="49DE41BE"/>
    <w:rsid w:val="4C520360"/>
    <w:rsid w:val="4D0C49B3"/>
    <w:rsid w:val="516D3DD1"/>
    <w:rsid w:val="548E3F00"/>
    <w:rsid w:val="564F06F7"/>
    <w:rsid w:val="680622D3"/>
    <w:rsid w:val="6D3226BA"/>
    <w:rsid w:val="6E2217EA"/>
    <w:rsid w:val="6FAD0F75"/>
    <w:rsid w:val="75F427C0"/>
    <w:rsid w:val="7C3A6744"/>
    <w:rsid w:val="7CC67A84"/>
    <w:rsid w:val="7DFE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E476E1D069E496FA91ED9C2455C7462"/>
        <w:style w:val=""/>
        <w:category>
          <w:name w:val="常规"/>
          <w:gallery w:val="placeholder"/>
        </w:category>
        <w:types>
          <w:type w:val="bbPlcHdr"/>
        </w:types>
        <w:behaviors>
          <w:behavior w:val="content"/>
        </w:behaviors>
        <w:description w:val=""/>
        <w:guid w:val="{D11641E8-202D-4EE5-88EA-114EB912AAB1}"/>
      </w:docPartPr>
      <w:docPartBody>
        <w:p w14:paraId="586BA23A">
          <w:pPr>
            <w:pStyle w:val="5"/>
          </w:pPr>
          <w:r>
            <w:rPr>
              <w:rStyle w:val="4"/>
              <w:rFonts w:hint="eastAsia"/>
            </w:rPr>
            <w:t>单击或点击此处输入文字。</w:t>
          </w:r>
        </w:p>
      </w:docPartBody>
    </w:docPart>
    <w:docPart>
      <w:docPartPr>
        <w:name w:val="C61D4507C0A846C6A293A2815C662BA9"/>
        <w:style w:val=""/>
        <w:category>
          <w:name w:val="常规"/>
          <w:gallery w:val="placeholder"/>
        </w:category>
        <w:types>
          <w:type w:val="bbPlcHdr"/>
        </w:types>
        <w:behaviors>
          <w:behavior w:val="content"/>
        </w:behaviors>
        <w:description w:val=""/>
        <w:guid w:val="{DC6D4B94-5B85-42E8-B1DB-BC171D2EAAEC}"/>
      </w:docPartPr>
      <w:docPartBody>
        <w:p w14:paraId="7B992EBB">
          <w:pPr>
            <w:pStyle w:val="6"/>
          </w:pPr>
          <w:r>
            <w:rPr>
              <w:rStyle w:val="4"/>
              <w:rFonts w:hint="eastAsia"/>
            </w:rPr>
            <w:t>选择一项。</w:t>
          </w:r>
        </w:p>
      </w:docPartBody>
    </w:docPart>
    <w:docPart>
      <w:docPartPr>
        <w:name w:val="239FE42155EA49CFA7C444EF7C84CBB1"/>
        <w:style w:val=""/>
        <w:category>
          <w:name w:val="常规"/>
          <w:gallery w:val="placeholder"/>
        </w:category>
        <w:types>
          <w:type w:val="bbPlcHdr"/>
        </w:types>
        <w:behaviors>
          <w:behavior w:val="content"/>
        </w:behaviors>
        <w:description w:val=""/>
        <w:guid w:val="{34898C68-4515-4B2C-8519-A13B80FF06CB}"/>
      </w:docPartPr>
      <w:docPartBody>
        <w:p w14:paraId="7620015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5D0"/>
    <w:rsid w:val="00DA7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E476E1D069E496FA91ED9C2455C746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61D4507C0A846C6A293A2815C662B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39FE42155EA49CFA7C444EF7C84CBB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324A3-38EE-4FA2-B04D-1DA3BF2E1109}">
  <ds:schemaRefs/>
</ds:datastoreItem>
</file>

<file path=docProps/app.xml><?xml version="1.0" encoding="utf-8"?>
<Properties xmlns="http://schemas.openxmlformats.org/officeDocument/2006/extended-properties" xmlns:vt="http://schemas.openxmlformats.org/officeDocument/2006/docPropsVTypes">
  <Template>团体标准.dotx</Template>
  <Pages>7</Pages>
  <Words>3347</Words>
  <Characters>3558</Characters>
  <Lines>465</Lines>
  <Paragraphs>324</Paragraphs>
  <TotalTime>0</TotalTime>
  <ScaleCrop>false</ScaleCrop>
  <LinksUpToDate>false</LinksUpToDate>
  <CharactersWithSpaces>3645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2026-04-17T08:46:00Z</dcterms:created>
  <dc:creator>13501034559</dc:creator>
  <cp:lastModifiedBy>暖北。</cp:lastModifiedBy>
  <cp:lastPrinted>2021-02-02T08:22:00Z</cp:lastPrinted>
  <dcterms:modified xsi:type="dcterms:W3CDTF">2026-04-30T07:06:26Z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eyJoZGlkIjoiYjBjNzg3YzAwNTRmMWMxZmQ2YjliNzhlNWVhMGY1NTMiLCJ1c2VySWQiOiIzNDM0NTgwOTQifQ==</vt:lpwstr>
  </property>
  <property fmtid="{D5CDD505-2E9C-101B-9397-08002B2CF9AE}" pid="15" name="KSOProductBuildVer">
    <vt:lpwstr>2052-12.1.0.25865</vt:lpwstr>
  </property>
  <property fmtid="{D5CDD505-2E9C-101B-9397-08002B2CF9AE}" pid="16" name="ICV">
    <vt:lpwstr>191B352D806344E0B0F2BC9A2DF7AC77_13</vt:lpwstr>
  </property>
</Properties>
</file>